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0B" w:rsidRDefault="00211B0B" w:rsidP="001F44F3">
      <w:pPr>
        <w:jc w:val="right"/>
      </w:pPr>
    </w:p>
    <w:p w:rsidR="001F44F3" w:rsidRDefault="001F44F3" w:rsidP="001F44F3">
      <w:pPr>
        <w:jc w:val="right"/>
      </w:pPr>
      <w:r w:rsidRPr="006D36BB">
        <w:rPr>
          <w:i/>
          <w:iCs/>
          <w:noProof/>
          <w:lang w:val="en-US"/>
        </w:rPr>
        <w:drawing>
          <wp:inline distT="0" distB="0" distL="0" distR="0" wp14:anchorId="0031141D" wp14:editId="75DD4EA9">
            <wp:extent cx="958850" cy="704850"/>
            <wp:effectExtent l="0" t="0" r="0" b="0"/>
            <wp:docPr id="1" name="Picture 1" descr="C:\Users\Lujain Ramadan\Downloads\SUP4PCL V3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jain Ramadan\Downloads\SUP4PCL V3 Blu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10" cy="7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4F3" w:rsidRDefault="00211B0B">
      <w:bookmarkStart w:id="0" w:name="_GoBack"/>
      <w:bookmarkEnd w:id="0"/>
      <w:r w:rsidRPr="00211B0B">
        <w:rPr>
          <w:highlight w:val="yellow"/>
        </w:rPr>
        <w:t>PCL3EA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2013"/>
        <w:gridCol w:w="1730"/>
        <w:gridCol w:w="5301"/>
        <w:gridCol w:w="585"/>
      </w:tblGrid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B33ACB">
            <w:pPr>
              <w:jc w:val="center"/>
            </w:pPr>
            <w:r>
              <w:rPr>
                <w:rFonts w:hint="cs"/>
                <w:rtl/>
              </w:rPr>
              <w:t>لا يتوافر</w:t>
            </w:r>
          </w:p>
        </w:tc>
        <w:tc>
          <w:tcPr>
            <w:tcW w:w="1730" w:type="dxa"/>
          </w:tcPr>
          <w:p w:rsidR="00B33ACB" w:rsidRDefault="00B33ACB" w:rsidP="00B33ACB">
            <w:pPr>
              <w:jc w:val="center"/>
            </w:pPr>
            <w:r>
              <w:rPr>
                <w:rFonts w:hint="cs"/>
                <w:rtl/>
              </w:rPr>
              <w:t>يتوافر</w:t>
            </w:r>
          </w:p>
        </w:tc>
        <w:tc>
          <w:tcPr>
            <w:tcW w:w="5301" w:type="dxa"/>
          </w:tcPr>
          <w:p w:rsidR="00B33ACB" w:rsidRDefault="00B33ACB" w:rsidP="00B33ACB">
            <w:pPr>
              <w:jc w:val="center"/>
            </w:pPr>
            <w:r>
              <w:rPr>
                <w:rFonts w:hint="cs"/>
                <w:rtl/>
              </w:rPr>
              <w:t>المؤشرات</w:t>
            </w:r>
          </w:p>
        </w:tc>
        <w:tc>
          <w:tcPr>
            <w:tcW w:w="585" w:type="dxa"/>
          </w:tcPr>
          <w:p w:rsidR="00B33ACB" w:rsidRDefault="00B33ACB" w:rsidP="00B33ACB">
            <w:pPr>
              <w:jc w:val="center"/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الرقم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82E7C" w:rsidP="00B33ACB">
            <w:pPr>
              <w:bidi/>
            </w:pPr>
            <w:r>
              <w:rPr>
                <w:rFonts w:hint="cs"/>
                <w:rtl/>
              </w:rPr>
              <w:t>القيم المشتركة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1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82E7C" w:rsidP="00B33ACB">
            <w:pPr>
              <w:bidi/>
            </w:pPr>
            <w:r>
              <w:rPr>
                <w:rFonts w:hint="cs"/>
                <w:rtl/>
              </w:rPr>
              <w:t>الثقة المتبادلة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2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82E7C" w:rsidP="00B33ACB">
            <w:pPr>
              <w:bidi/>
            </w:pPr>
            <w:r>
              <w:rPr>
                <w:rFonts w:hint="cs"/>
                <w:rtl/>
              </w:rPr>
              <w:t>الأهداف المشتركة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3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82E7C" w:rsidP="00B33ACB">
            <w:pPr>
              <w:bidi/>
            </w:pPr>
            <w:r>
              <w:rPr>
                <w:rFonts w:hint="cs"/>
                <w:rtl/>
              </w:rPr>
              <w:t>اللغة المشتركة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4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82E7C" w:rsidP="00B33ACB">
            <w:pPr>
              <w:bidi/>
            </w:pPr>
            <w:r>
              <w:rPr>
                <w:rFonts w:hint="cs"/>
                <w:rtl/>
              </w:rPr>
              <w:t>المناخ التعاونى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5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82E7C" w:rsidP="00B33ACB">
            <w:pPr>
              <w:bidi/>
            </w:pPr>
            <w:r>
              <w:rPr>
                <w:rFonts w:hint="cs"/>
                <w:rtl/>
              </w:rPr>
              <w:t>مراعاة أن الأراء الفردية تؤخذ فى الإعتبار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6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82E7C" w:rsidP="00B33ACB">
            <w:pPr>
              <w:bidi/>
            </w:pPr>
            <w:r>
              <w:rPr>
                <w:rFonts w:hint="cs"/>
                <w:rtl/>
              </w:rPr>
              <w:t>الرضا عن إتخاذ القرار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7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82E7C" w:rsidP="00B33ACB">
            <w:pPr>
              <w:bidi/>
            </w:pPr>
            <w:r>
              <w:rPr>
                <w:rFonts w:hint="cs"/>
                <w:rtl/>
              </w:rPr>
              <w:t>مراعاة قيمة إتخاذ القرار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8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82E7C" w:rsidP="00B33ACB">
            <w:pPr>
              <w:bidi/>
            </w:pPr>
            <w:r>
              <w:rPr>
                <w:rFonts w:hint="cs"/>
                <w:rtl/>
              </w:rPr>
              <w:t>مراعاة قيمة إختلاف الرأى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9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  <w:r>
              <w:rPr>
                <w:rFonts w:hint="cs"/>
                <w:rtl/>
              </w:rPr>
              <w:t>الشعور بتملك انشطة مجتمعات التعلم المهن</w:t>
            </w:r>
            <w:r w:rsidR="00CB4A84">
              <w:rPr>
                <w:rFonts w:hint="cs"/>
                <w:rtl/>
              </w:rPr>
              <w:t>ي</w:t>
            </w:r>
            <w:r>
              <w:rPr>
                <w:rFonts w:hint="cs"/>
                <w:rtl/>
              </w:rPr>
              <w:t>ة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10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  <w:r>
              <w:rPr>
                <w:rFonts w:hint="cs"/>
                <w:rtl/>
              </w:rPr>
              <w:t>الرضا عن إدارة الإختلاف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11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  <w:r>
              <w:rPr>
                <w:rFonts w:hint="cs"/>
                <w:rtl/>
              </w:rPr>
              <w:t>مراعاة دعم مجتمعات التعلم المهنية (6 أنواع + أخرى)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12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  <w:r>
              <w:rPr>
                <w:rFonts w:hint="cs"/>
                <w:rtl/>
              </w:rPr>
              <w:t>احساس المشارك بقدرته على المشاركة مع مجتمعات التعلم المهنية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13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  <w:r>
              <w:rPr>
                <w:rFonts w:hint="cs"/>
                <w:rtl/>
              </w:rPr>
              <w:t>إحساس المشارك بأنه مدعوم من مجتمعات التعلم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14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  <w:r>
              <w:rPr>
                <w:rFonts w:hint="cs"/>
                <w:rtl/>
              </w:rPr>
              <w:t>إحساس المشارك بأنه يدعم مجتمعات التعلم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15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  <w:r>
              <w:rPr>
                <w:rFonts w:hint="cs"/>
                <w:rtl/>
              </w:rPr>
              <w:t>إحتياجات المشاركين مجابة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16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  <w:r>
              <w:rPr>
                <w:rFonts w:hint="cs"/>
                <w:rtl/>
              </w:rPr>
              <w:t>مراعاة إرتباط القضايا المحددة بممارسة المشاركين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17</w:t>
            </w:r>
          </w:p>
        </w:tc>
      </w:tr>
      <w:tr w:rsidR="00B33ACB" w:rsidTr="00986097">
        <w:trPr>
          <w:trHeight w:val="63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  <w:r>
              <w:rPr>
                <w:rFonts w:hint="cs"/>
                <w:rtl/>
              </w:rPr>
              <w:t>الشعور بأن المشاركة فى مجتمعات التعلم المهنية تؤدى إلى تحسين ممارسة المشاركين فى المستقبل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18</w:t>
            </w:r>
          </w:p>
        </w:tc>
      </w:tr>
      <w:tr w:rsidR="00B33ACB" w:rsidTr="00986097">
        <w:trPr>
          <w:trHeight w:val="620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  <w:r>
              <w:rPr>
                <w:rFonts w:hint="cs"/>
                <w:rtl/>
              </w:rPr>
              <w:t>الشعور بأن المشاركة فى مجتمعات التعلم المهنية سوف تحسن ممارسة المشاركين فى المستقبل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19</w:t>
            </w:r>
          </w:p>
        </w:tc>
      </w:tr>
      <w:tr w:rsidR="00B33ACB" w:rsidTr="00986097">
        <w:trPr>
          <w:trHeight w:val="620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DB3442" w:rsidP="00B33ACB">
            <w:pPr>
              <w:bidi/>
            </w:pPr>
            <w:r>
              <w:rPr>
                <w:rFonts w:hint="cs"/>
                <w:rtl/>
              </w:rPr>
              <w:t xml:space="preserve">الشعور بأن </w:t>
            </w:r>
            <w:r w:rsidR="00250E4A">
              <w:rPr>
                <w:rFonts w:hint="cs"/>
                <w:rtl/>
              </w:rPr>
              <w:t>المشاركة فى مجتمعات التعلم تؤدى إلى التعلم المهنى للمشاركين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20</w:t>
            </w:r>
          </w:p>
        </w:tc>
      </w:tr>
      <w:tr w:rsidR="00B33ACB" w:rsidTr="00986097">
        <w:trPr>
          <w:trHeight w:val="63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50E4A" w:rsidP="00250E4A">
            <w:pPr>
              <w:bidi/>
            </w:pPr>
            <w:r>
              <w:rPr>
                <w:rFonts w:hint="cs"/>
                <w:rtl/>
              </w:rPr>
              <w:t>الشعور بأن المشاركة فى مجتمعات التعلم تؤدى إلى التعلم المهنى للمجموعة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21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50E4A" w:rsidP="00B33ACB">
            <w:pPr>
              <w:bidi/>
            </w:pPr>
            <w:r>
              <w:rPr>
                <w:rFonts w:hint="cs"/>
                <w:rtl/>
              </w:rPr>
              <w:t>أثر المشاركة فى مجتمعات التعلم المهنية على تعليم الطلاب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22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50E4A" w:rsidP="00B33ACB">
            <w:pPr>
              <w:bidi/>
            </w:pPr>
            <w:r>
              <w:rPr>
                <w:rFonts w:hint="cs"/>
                <w:rtl/>
              </w:rPr>
              <w:t>مستوى التعلم المتبادل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23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50E4A" w:rsidP="00B33ACB">
            <w:pPr>
              <w:bidi/>
            </w:pPr>
            <w:r>
              <w:rPr>
                <w:rFonts w:hint="cs"/>
                <w:rtl/>
              </w:rPr>
              <w:t>العناصر التى ت</w:t>
            </w:r>
            <w:r w:rsidR="00CB4A84">
              <w:rPr>
                <w:rFonts w:hint="cs"/>
                <w:rtl/>
              </w:rPr>
              <w:t>ساند أنشطة مجتمعات التعلم المهني</w:t>
            </w:r>
            <w:r>
              <w:rPr>
                <w:rFonts w:hint="cs"/>
                <w:rtl/>
              </w:rPr>
              <w:t>ة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24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50E4A" w:rsidP="00B33ACB">
            <w:pPr>
              <w:bidi/>
            </w:pPr>
            <w:r>
              <w:rPr>
                <w:rFonts w:hint="cs"/>
                <w:rtl/>
              </w:rPr>
              <w:t>معوقات أنشطة مجتمعات التعلم المهنىة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25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50E4A" w:rsidP="00250E4A">
            <w:pPr>
              <w:bidi/>
            </w:pPr>
            <w:r>
              <w:rPr>
                <w:rFonts w:hint="cs"/>
                <w:rtl/>
              </w:rPr>
              <w:t>إختبارات لتحسين مجتمعات التعلم المهنىة</w:t>
            </w:r>
          </w:p>
        </w:tc>
        <w:tc>
          <w:tcPr>
            <w:tcW w:w="585" w:type="dxa"/>
          </w:tcPr>
          <w:p w:rsidR="00B33ACB" w:rsidRDefault="00B33ACB" w:rsidP="00A945A4">
            <w:r>
              <w:rPr>
                <w:rFonts w:hint="cs"/>
                <w:rtl/>
              </w:rPr>
              <w:t>26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50E4A" w:rsidP="00250E4A">
            <w:pPr>
              <w:bidi/>
            </w:pPr>
            <w:r>
              <w:rPr>
                <w:rFonts w:hint="cs"/>
                <w:rtl/>
              </w:rPr>
              <w:t>الجودة و التطوير لمجتمعات التعلم المهنىة</w:t>
            </w:r>
          </w:p>
        </w:tc>
        <w:tc>
          <w:tcPr>
            <w:tcW w:w="585" w:type="dxa"/>
          </w:tcPr>
          <w:p w:rsidR="00B33ACB" w:rsidRDefault="00250E4A" w:rsidP="00A945A4">
            <w:r>
              <w:rPr>
                <w:rFonts w:hint="cs"/>
                <w:rtl/>
              </w:rPr>
              <w:t>27</w:t>
            </w:r>
          </w:p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282E7C" w:rsidP="00282E7C">
            <w:pPr>
              <w:bidi/>
            </w:pPr>
            <w:r>
              <w:rPr>
                <w:rFonts w:hint="cs"/>
                <w:rtl/>
              </w:rPr>
              <w:t>المصادر المطورة بواسطة مجتمعات التعلم المهنىة (صيغة + أهداف)</w:t>
            </w:r>
          </w:p>
        </w:tc>
        <w:tc>
          <w:tcPr>
            <w:tcW w:w="585" w:type="dxa"/>
          </w:tcPr>
          <w:p w:rsidR="00B33ACB" w:rsidRDefault="00282E7C" w:rsidP="00A945A4">
            <w:r>
              <w:rPr>
                <w:rFonts w:hint="cs"/>
                <w:rtl/>
              </w:rPr>
              <w:t>28</w:t>
            </w:r>
          </w:p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</w:p>
        </w:tc>
        <w:tc>
          <w:tcPr>
            <w:tcW w:w="585" w:type="dxa"/>
          </w:tcPr>
          <w:p w:rsidR="00B33ACB" w:rsidRDefault="00B33ACB" w:rsidP="00A945A4"/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</w:p>
        </w:tc>
        <w:tc>
          <w:tcPr>
            <w:tcW w:w="585" w:type="dxa"/>
          </w:tcPr>
          <w:p w:rsidR="00B33ACB" w:rsidRDefault="00B33ACB" w:rsidP="00A945A4"/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</w:p>
        </w:tc>
        <w:tc>
          <w:tcPr>
            <w:tcW w:w="585" w:type="dxa"/>
          </w:tcPr>
          <w:p w:rsidR="00B33ACB" w:rsidRDefault="00B33ACB" w:rsidP="00A945A4"/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</w:p>
        </w:tc>
        <w:tc>
          <w:tcPr>
            <w:tcW w:w="585" w:type="dxa"/>
          </w:tcPr>
          <w:p w:rsidR="00B33ACB" w:rsidRDefault="00B33ACB" w:rsidP="00A945A4"/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</w:p>
        </w:tc>
        <w:tc>
          <w:tcPr>
            <w:tcW w:w="585" w:type="dxa"/>
          </w:tcPr>
          <w:p w:rsidR="00B33ACB" w:rsidRDefault="00B33ACB" w:rsidP="00A945A4"/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</w:p>
        </w:tc>
        <w:tc>
          <w:tcPr>
            <w:tcW w:w="585" w:type="dxa"/>
          </w:tcPr>
          <w:p w:rsidR="00B33ACB" w:rsidRDefault="00B33ACB" w:rsidP="00A945A4"/>
        </w:tc>
      </w:tr>
      <w:tr w:rsidR="00B33ACB" w:rsidTr="00986097">
        <w:trPr>
          <w:trHeight w:val="338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</w:p>
        </w:tc>
        <w:tc>
          <w:tcPr>
            <w:tcW w:w="585" w:type="dxa"/>
          </w:tcPr>
          <w:p w:rsidR="00B33ACB" w:rsidRDefault="00B33ACB" w:rsidP="00A945A4"/>
        </w:tc>
      </w:tr>
      <w:tr w:rsidR="00B33ACB" w:rsidTr="00986097">
        <w:trPr>
          <w:trHeight w:val="319"/>
        </w:trPr>
        <w:tc>
          <w:tcPr>
            <w:tcW w:w="2013" w:type="dxa"/>
          </w:tcPr>
          <w:p w:rsidR="00B33ACB" w:rsidRDefault="00B33ACB" w:rsidP="00A945A4"/>
        </w:tc>
        <w:tc>
          <w:tcPr>
            <w:tcW w:w="1730" w:type="dxa"/>
          </w:tcPr>
          <w:p w:rsidR="00B33ACB" w:rsidRDefault="00B33ACB" w:rsidP="00A945A4"/>
        </w:tc>
        <w:tc>
          <w:tcPr>
            <w:tcW w:w="5301" w:type="dxa"/>
          </w:tcPr>
          <w:p w:rsidR="00B33ACB" w:rsidRDefault="00B33ACB" w:rsidP="00B33ACB">
            <w:pPr>
              <w:bidi/>
            </w:pPr>
          </w:p>
        </w:tc>
        <w:tc>
          <w:tcPr>
            <w:tcW w:w="585" w:type="dxa"/>
          </w:tcPr>
          <w:p w:rsidR="00B33ACB" w:rsidRDefault="00B33ACB" w:rsidP="00A945A4"/>
        </w:tc>
      </w:tr>
    </w:tbl>
    <w:p w:rsidR="00B33ACB" w:rsidRPr="00E6791B" w:rsidRDefault="00B33ACB" w:rsidP="00A945A4"/>
    <w:sectPr w:rsidR="00B33ACB" w:rsidRPr="00E6791B" w:rsidSect="00CD3F3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5F" w:rsidRDefault="00E95D5F" w:rsidP="005E4C72">
      <w:pPr>
        <w:spacing w:after="0" w:line="240" w:lineRule="auto"/>
      </w:pPr>
      <w:r>
        <w:separator/>
      </w:r>
    </w:p>
  </w:endnote>
  <w:endnote w:type="continuationSeparator" w:id="0">
    <w:p w:rsidR="00E95D5F" w:rsidRDefault="00E95D5F" w:rsidP="005E4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E6" w:rsidRDefault="000147E6">
    <w:pPr>
      <w:pStyle w:val="Footer"/>
      <w:jc w:val="right"/>
    </w:pPr>
  </w:p>
  <w:p w:rsidR="000147E6" w:rsidRDefault="00014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5F" w:rsidRDefault="00E95D5F" w:rsidP="005E4C72">
      <w:pPr>
        <w:spacing w:after="0" w:line="240" w:lineRule="auto"/>
      </w:pPr>
      <w:r>
        <w:separator/>
      </w:r>
    </w:p>
  </w:footnote>
  <w:footnote w:type="continuationSeparator" w:id="0">
    <w:p w:rsidR="00E95D5F" w:rsidRDefault="00E95D5F" w:rsidP="005E4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566"/>
    <w:multiLevelType w:val="hybridMultilevel"/>
    <w:tmpl w:val="915864BA"/>
    <w:lvl w:ilvl="0" w:tplc="B7B2C79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41294"/>
    <w:multiLevelType w:val="hybridMultilevel"/>
    <w:tmpl w:val="AB9AC890"/>
    <w:lvl w:ilvl="0" w:tplc="FAF6570C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60F1E"/>
    <w:multiLevelType w:val="hybridMultilevel"/>
    <w:tmpl w:val="56CC4E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92"/>
    <w:rsid w:val="00006B31"/>
    <w:rsid w:val="000147E6"/>
    <w:rsid w:val="00061256"/>
    <w:rsid w:val="00075038"/>
    <w:rsid w:val="000E6B54"/>
    <w:rsid w:val="000F665B"/>
    <w:rsid w:val="001742FC"/>
    <w:rsid w:val="001F44F3"/>
    <w:rsid w:val="00201621"/>
    <w:rsid w:val="00211B0B"/>
    <w:rsid w:val="00236587"/>
    <w:rsid w:val="00250E4A"/>
    <w:rsid w:val="00254D58"/>
    <w:rsid w:val="00282E7C"/>
    <w:rsid w:val="00321826"/>
    <w:rsid w:val="00427797"/>
    <w:rsid w:val="00536E88"/>
    <w:rsid w:val="005E4C72"/>
    <w:rsid w:val="006570B6"/>
    <w:rsid w:val="00671CFE"/>
    <w:rsid w:val="006B65DD"/>
    <w:rsid w:val="006D07C1"/>
    <w:rsid w:val="006D2D07"/>
    <w:rsid w:val="00737EC1"/>
    <w:rsid w:val="0084638D"/>
    <w:rsid w:val="008D0490"/>
    <w:rsid w:val="00986097"/>
    <w:rsid w:val="00A945A4"/>
    <w:rsid w:val="00A94E97"/>
    <w:rsid w:val="00B13648"/>
    <w:rsid w:val="00B33ACB"/>
    <w:rsid w:val="00B42199"/>
    <w:rsid w:val="00BD39BB"/>
    <w:rsid w:val="00BE0BD2"/>
    <w:rsid w:val="00C070A4"/>
    <w:rsid w:val="00CA40C0"/>
    <w:rsid w:val="00CB4A84"/>
    <w:rsid w:val="00CD3F32"/>
    <w:rsid w:val="00CE5160"/>
    <w:rsid w:val="00DB3442"/>
    <w:rsid w:val="00E03B11"/>
    <w:rsid w:val="00E45192"/>
    <w:rsid w:val="00E6791B"/>
    <w:rsid w:val="00E85529"/>
    <w:rsid w:val="00E95D5F"/>
    <w:rsid w:val="00E95D92"/>
    <w:rsid w:val="00ED7ADA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92"/>
    <w:pPr>
      <w:ind w:left="720"/>
      <w:contextualSpacing/>
    </w:pPr>
  </w:style>
  <w:style w:type="character" w:styleId="CommentReference">
    <w:name w:val="annotation reference"/>
    <w:basedOn w:val="DefaultParagraphFont"/>
    <w:rsid w:val="00E451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192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E4519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4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C72"/>
  </w:style>
  <w:style w:type="paragraph" w:styleId="Footer">
    <w:name w:val="footer"/>
    <w:basedOn w:val="Normal"/>
    <w:link w:val="FooterChar"/>
    <w:uiPriority w:val="99"/>
    <w:unhideWhenUsed/>
    <w:rsid w:val="005E4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72"/>
  </w:style>
  <w:style w:type="table" w:styleId="TableGrid">
    <w:name w:val="Table Grid"/>
    <w:basedOn w:val="TableNormal"/>
    <w:uiPriority w:val="59"/>
    <w:rsid w:val="00ED7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192"/>
    <w:pPr>
      <w:ind w:left="720"/>
      <w:contextualSpacing/>
    </w:pPr>
  </w:style>
  <w:style w:type="character" w:styleId="CommentReference">
    <w:name w:val="annotation reference"/>
    <w:basedOn w:val="DefaultParagraphFont"/>
    <w:rsid w:val="00E451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5192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E45192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4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4C72"/>
  </w:style>
  <w:style w:type="paragraph" w:styleId="Footer">
    <w:name w:val="footer"/>
    <w:basedOn w:val="Normal"/>
    <w:link w:val="FooterChar"/>
    <w:uiPriority w:val="99"/>
    <w:unhideWhenUsed/>
    <w:rsid w:val="005E4C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72"/>
  </w:style>
  <w:style w:type="table" w:styleId="TableGrid">
    <w:name w:val="Table Grid"/>
    <w:basedOn w:val="TableNormal"/>
    <w:uiPriority w:val="59"/>
    <w:rsid w:val="00ED7A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orla.mccormack</dc:creator>
  <cp:lastModifiedBy>Sherine</cp:lastModifiedBy>
  <cp:revision>3</cp:revision>
  <cp:lastPrinted>2018-08-13T12:21:00Z</cp:lastPrinted>
  <dcterms:created xsi:type="dcterms:W3CDTF">2018-09-02T09:01:00Z</dcterms:created>
  <dcterms:modified xsi:type="dcterms:W3CDTF">2018-09-02T09:01:00Z</dcterms:modified>
</cp:coreProperties>
</file>