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B4" w:rsidRPr="006D36BB" w:rsidRDefault="00460FB4" w:rsidP="00460FB4">
      <w:pPr>
        <w:rPr>
          <w:i/>
          <w:iCs/>
          <w:noProof/>
          <w:lang w:val="en-GB" w:eastAsia="en-GB"/>
        </w:rPr>
      </w:pPr>
      <w:bookmarkStart w:id="0" w:name="_GoBack"/>
      <w:bookmarkEnd w:id="0"/>
      <w:r>
        <w:rPr>
          <w:noProof/>
        </w:rPr>
        <w:drawing>
          <wp:inline distT="0" distB="0" distL="0" distR="0" wp14:anchorId="2A3BCC05" wp14:editId="530EB07C">
            <wp:extent cx="2240280" cy="527304"/>
            <wp:effectExtent l="0" t="0" r="0" b="0"/>
            <wp:docPr id="72278" name="Picture 72278"/>
            <wp:cNvGraphicFramePr/>
            <a:graphic xmlns:a="http://schemas.openxmlformats.org/drawingml/2006/main">
              <a:graphicData uri="http://schemas.openxmlformats.org/drawingml/2006/picture">
                <pic:pic xmlns:pic="http://schemas.openxmlformats.org/drawingml/2006/picture">
                  <pic:nvPicPr>
                    <pic:cNvPr id="72278" name="Picture 72278"/>
                    <pic:cNvPicPr/>
                  </pic:nvPicPr>
                  <pic:blipFill>
                    <a:blip r:embed="rId6"/>
                    <a:stretch>
                      <a:fillRect/>
                    </a:stretch>
                  </pic:blipFill>
                  <pic:spPr>
                    <a:xfrm>
                      <a:off x="0" y="0"/>
                      <a:ext cx="2240280" cy="527304"/>
                    </a:xfrm>
                    <a:prstGeom prst="rect">
                      <a:avLst/>
                    </a:prstGeom>
                  </pic:spPr>
                </pic:pic>
              </a:graphicData>
            </a:graphic>
          </wp:inline>
        </w:drawing>
      </w:r>
      <w:r>
        <w:rPr>
          <w:i/>
          <w:iCs/>
          <w:noProof/>
          <w:lang w:val="en-GB" w:eastAsia="en-GB"/>
        </w:rPr>
        <w:t xml:space="preserve">                                                                            </w:t>
      </w:r>
      <w:r w:rsidRPr="006D36BB">
        <w:rPr>
          <w:i/>
          <w:iCs/>
          <w:noProof/>
        </w:rPr>
        <w:drawing>
          <wp:inline distT="0" distB="0" distL="0" distR="0" wp14:anchorId="759568A0" wp14:editId="7FDBAB52">
            <wp:extent cx="958850" cy="704850"/>
            <wp:effectExtent l="0" t="0" r="0" b="0"/>
            <wp:docPr id="1" name="Picture 1" descr="C:\Users\Lujain Ramadan\Downloads\SUP4PCL V3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jain Ramadan\Downloads\SUP4PCL V3 Blu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110" cy="727829"/>
                    </a:xfrm>
                    <a:prstGeom prst="rect">
                      <a:avLst/>
                    </a:prstGeom>
                    <a:noFill/>
                    <a:ln>
                      <a:noFill/>
                    </a:ln>
                  </pic:spPr>
                </pic:pic>
              </a:graphicData>
            </a:graphic>
          </wp:inline>
        </w:drawing>
      </w:r>
      <w:r>
        <w:rPr>
          <w:i/>
          <w:iCs/>
          <w:noProof/>
          <w:lang w:val="en-GB" w:eastAsia="en-GB"/>
        </w:rPr>
        <w:t xml:space="preserve">                       </w:t>
      </w:r>
    </w:p>
    <w:p w:rsidR="00460FB4" w:rsidRDefault="00460FB4" w:rsidP="00460FB4">
      <w:pPr>
        <w:rPr>
          <w:i/>
          <w:iCs/>
        </w:rPr>
      </w:pPr>
    </w:p>
    <w:p w:rsidR="00460FB4" w:rsidRDefault="00460FB4" w:rsidP="00460FB4">
      <w:pPr>
        <w:ind w:left="-1530" w:right="-1440"/>
        <w:jc w:val="center"/>
        <w:rPr>
          <w:b/>
          <w:bCs/>
          <w:sz w:val="28"/>
          <w:szCs w:val="28"/>
        </w:rPr>
      </w:pPr>
      <w:r>
        <w:rPr>
          <w:b/>
          <w:bCs/>
          <w:sz w:val="28"/>
          <w:szCs w:val="28"/>
        </w:rPr>
        <w:t>School and University Partnership for Peer Communities of learners (SUP4PCL)</w:t>
      </w:r>
    </w:p>
    <w:p w:rsidR="00460FB4" w:rsidRPr="00474E8D" w:rsidRDefault="00460FB4" w:rsidP="00460FB4">
      <w:pPr>
        <w:spacing w:after="0" w:line="240" w:lineRule="auto"/>
        <w:jc w:val="center"/>
        <w:rPr>
          <w:rFonts w:eastAsia="Times New Roman" w:cs="Times New Roman"/>
          <w:szCs w:val="24"/>
        </w:rPr>
      </w:pPr>
    </w:p>
    <w:p w:rsidR="00460FB4" w:rsidRPr="00474E8D" w:rsidRDefault="00460FB4" w:rsidP="00460FB4">
      <w:pPr>
        <w:spacing w:after="0" w:line="240" w:lineRule="auto"/>
        <w:jc w:val="center"/>
        <w:rPr>
          <w:rFonts w:eastAsia="Times New Roman" w:cs="Times New Roman"/>
          <w:szCs w:val="24"/>
        </w:rPr>
      </w:pPr>
      <w:r w:rsidRPr="00474E8D">
        <w:rPr>
          <w:rFonts w:eastAsia="Times New Roman" w:cs="Times New Roman"/>
          <w:szCs w:val="24"/>
        </w:rPr>
        <w:t xml:space="preserve">Project number: </w:t>
      </w:r>
      <w:r w:rsidRPr="00B41CE4">
        <w:t>573660-EPP-1-2016-1-EG-EPPKA2-CBHE-JP (2016-2516/001-001)</w:t>
      </w:r>
    </w:p>
    <w:p w:rsidR="00460FB4" w:rsidRPr="00474E8D" w:rsidRDefault="00460FB4" w:rsidP="00460FB4">
      <w:pPr>
        <w:spacing w:after="0" w:line="240" w:lineRule="auto"/>
        <w:jc w:val="center"/>
        <w:rPr>
          <w:rFonts w:eastAsia="Times New Roman" w:cs="Times New Roman"/>
          <w:szCs w:val="24"/>
        </w:rPr>
      </w:pPr>
    </w:p>
    <w:p w:rsidR="00460FB4" w:rsidRDefault="00460FB4" w:rsidP="00460FB4">
      <w:pPr>
        <w:spacing w:after="0" w:line="240" w:lineRule="auto"/>
        <w:jc w:val="center"/>
        <w:rPr>
          <w:b/>
          <w:i/>
          <w:sz w:val="28"/>
          <w:szCs w:val="28"/>
        </w:rPr>
      </w:pPr>
      <w:r w:rsidRPr="00B170CF">
        <w:rPr>
          <w:b/>
          <w:i/>
          <w:sz w:val="28"/>
          <w:szCs w:val="28"/>
        </w:rPr>
        <w:t xml:space="preserve">Transforming Research and Practice Towards High Quality Educators and Leaders </w:t>
      </w:r>
    </w:p>
    <w:p w:rsidR="00460FB4" w:rsidRPr="00B170CF" w:rsidRDefault="00460FB4" w:rsidP="00460FB4">
      <w:pPr>
        <w:spacing w:after="0" w:line="240" w:lineRule="auto"/>
        <w:jc w:val="center"/>
        <w:rPr>
          <w:b/>
          <w:i/>
          <w:sz w:val="28"/>
          <w:szCs w:val="28"/>
        </w:rPr>
      </w:pPr>
    </w:p>
    <w:p w:rsidR="00780C26" w:rsidRPr="00460FB4" w:rsidRDefault="00460FB4" w:rsidP="00780C26">
      <w:pPr>
        <w:jc w:val="center"/>
        <w:rPr>
          <w:b/>
          <w:bCs/>
          <w:i/>
          <w:iCs/>
        </w:rPr>
      </w:pPr>
      <w:r w:rsidRPr="00460FB4">
        <w:rPr>
          <w:b/>
          <w:bCs/>
          <w:i/>
          <w:iCs/>
        </w:rPr>
        <w:t>Conference Concept Note</w:t>
      </w:r>
    </w:p>
    <w:p w:rsidR="00FF68FF" w:rsidRDefault="00780C26" w:rsidP="00780C26">
      <w:r>
        <w:t>On the o</w:t>
      </w:r>
      <w:r w:rsidR="00460FB4">
        <w:t>ccasion of the finalization of ‘T</w:t>
      </w:r>
      <w:r>
        <w:t xml:space="preserve">he School University Partnership for Peer Communities of Learners </w:t>
      </w:r>
      <w:r w:rsidR="00460FB4">
        <w:t>(</w:t>
      </w:r>
      <w:r>
        <w:t>SUP4PCL</w:t>
      </w:r>
      <w:r w:rsidR="00460FB4">
        <w:t>)’</w:t>
      </w:r>
      <w:r>
        <w:t xml:space="preserve"> the Erasmus+ funded project, The Middle East Institute for Higher Education </w:t>
      </w:r>
      <w:r w:rsidR="00460FB4">
        <w:t>(</w:t>
      </w:r>
      <w:r>
        <w:t>MEIHE</w:t>
      </w:r>
      <w:r w:rsidR="00460FB4">
        <w:t>)</w:t>
      </w:r>
      <w:r>
        <w:t xml:space="preserve"> at the G</w:t>
      </w:r>
      <w:r w:rsidR="00460FB4">
        <w:t>raduate School of Education (GSE)</w:t>
      </w:r>
      <w:r w:rsidR="00FF2644">
        <w:t xml:space="preserve"> organizing a conference </w:t>
      </w:r>
      <w:r w:rsidR="00460FB4">
        <w:t xml:space="preserve">entitled </w:t>
      </w:r>
      <w:r w:rsidR="00460FB4">
        <w:rPr>
          <w:i/>
          <w:iCs/>
        </w:rPr>
        <w:t>Transforming</w:t>
      </w:r>
      <w:r w:rsidR="00FF2644">
        <w:rPr>
          <w:i/>
          <w:iCs/>
        </w:rPr>
        <w:t xml:space="preserve"> Research and Practice towards High Quality Educators and Leaders.   </w:t>
      </w:r>
      <w:r w:rsidR="00892AD8">
        <w:t>The conference will take place at the</w:t>
      </w:r>
      <w:r w:rsidR="00460FB4">
        <w:t xml:space="preserve"> American University in Cairo from</w:t>
      </w:r>
      <w:r w:rsidR="00892AD8">
        <w:t xml:space="preserve"> the 24</w:t>
      </w:r>
      <w:r w:rsidR="00892AD8" w:rsidRPr="00892AD8">
        <w:rPr>
          <w:vertAlign w:val="superscript"/>
        </w:rPr>
        <w:t>th</w:t>
      </w:r>
      <w:r w:rsidR="00892AD8">
        <w:t xml:space="preserve"> to the 26</w:t>
      </w:r>
      <w:r w:rsidR="00892AD8" w:rsidRPr="00892AD8">
        <w:rPr>
          <w:vertAlign w:val="superscript"/>
        </w:rPr>
        <w:t>th</w:t>
      </w:r>
      <w:r w:rsidR="00460FB4">
        <w:t xml:space="preserve"> of March, 2020 </w:t>
      </w:r>
      <w:r w:rsidR="00892AD8">
        <w:t xml:space="preserve">at the </w:t>
      </w:r>
      <w:proofErr w:type="spellStart"/>
      <w:r w:rsidR="00892AD8">
        <w:t>Moataz</w:t>
      </w:r>
      <w:proofErr w:type="spellEnd"/>
      <w:r w:rsidR="00892AD8">
        <w:t xml:space="preserve"> al </w:t>
      </w:r>
      <w:proofErr w:type="spellStart"/>
      <w:r w:rsidR="00892AD8">
        <w:t>Alfi</w:t>
      </w:r>
      <w:proofErr w:type="spellEnd"/>
      <w:r w:rsidR="00892AD8">
        <w:t xml:space="preserve"> Hall.  </w:t>
      </w:r>
    </w:p>
    <w:p w:rsidR="00FF68FF" w:rsidRPr="00FF68FF" w:rsidRDefault="00FF68FF" w:rsidP="00780C26">
      <w:pPr>
        <w:rPr>
          <w:b/>
          <w:bCs/>
        </w:rPr>
      </w:pPr>
      <w:r>
        <w:rPr>
          <w:b/>
          <w:bCs/>
        </w:rPr>
        <w:t>Objectives:</w:t>
      </w:r>
    </w:p>
    <w:p w:rsidR="00892AD8" w:rsidRDefault="00892AD8" w:rsidP="00780C26">
      <w:r>
        <w:t>The purpose of the conference is to:</w:t>
      </w:r>
    </w:p>
    <w:p w:rsidR="00892AD8" w:rsidRDefault="00892AD8" w:rsidP="00892AD8">
      <w:pPr>
        <w:pStyle w:val="ListParagraph"/>
        <w:numPr>
          <w:ilvl w:val="0"/>
          <w:numId w:val="1"/>
        </w:numPr>
      </w:pPr>
      <w:r>
        <w:t>Present the results of the project and the partnership to a broader audience</w:t>
      </w:r>
      <w:r w:rsidR="00460FB4">
        <w:t>.</w:t>
      </w:r>
    </w:p>
    <w:p w:rsidR="00FF68FF" w:rsidRDefault="00FF68FF" w:rsidP="00892AD8">
      <w:pPr>
        <w:pStyle w:val="ListParagraph"/>
        <w:numPr>
          <w:ilvl w:val="0"/>
          <w:numId w:val="1"/>
        </w:numPr>
      </w:pPr>
      <w:r>
        <w:t>Disseminat</w:t>
      </w:r>
      <w:r w:rsidR="00460FB4">
        <w:t>e the outcomes in research form.</w:t>
      </w:r>
    </w:p>
    <w:p w:rsidR="00892AD8" w:rsidRDefault="00892AD8" w:rsidP="00892AD8">
      <w:pPr>
        <w:pStyle w:val="ListParagraph"/>
        <w:numPr>
          <w:ilvl w:val="0"/>
          <w:numId w:val="1"/>
        </w:numPr>
      </w:pPr>
      <w:r>
        <w:t xml:space="preserve"> </w:t>
      </w:r>
      <w:r w:rsidR="00FF68FF">
        <w:t>A</w:t>
      </w:r>
      <w:r>
        <w:t>dvocate for school university partnerships as a reform approach</w:t>
      </w:r>
      <w:r w:rsidR="00460FB4">
        <w:t>.</w:t>
      </w:r>
    </w:p>
    <w:p w:rsidR="00892AD8" w:rsidRDefault="00FF68FF" w:rsidP="00FF68FF">
      <w:pPr>
        <w:pStyle w:val="ListParagraph"/>
        <w:numPr>
          <w:ilvl w:val="0"/>
          <w:numId w:val="1"/>
        </w:numPr>
      </w:pPr>
      <w:r>
        <w:t xml:space="preserve"> E</w:t>
      </w:r>
      <w:r w:rsidR="00892AD8">
        <w:t>mpower teachers to present their research as professionals contributing to knowledge creation.</w:t>
      </w:r>
    </w:p>
    <w:p w:rsidR="008E5A5B" w:rsidRDefault="008E5A5B" w:rsidP="00FF68FF">
      <w:pPr>
        <w:pStyle w:val="ListParagraph"/>
        <w:numPr>
          <w:ilvl w:val="0"/>
          <w:numId w:val="1"/>
        </w:numPr>
      </w:pPr>
      <w:r>
        <w:t>Elevate the status of teachers.</w:t>
      </w:r>
    </w:p>
    <w:p w:rsidR="00FF68FF" w:rsidRDefault="00FF68FF" w:rsidP="00892AD8">
      <w:pPr>
        <w:pStyle w:val="ListParagraph"/>
        <w:numPr>
          <w:ilvl w:val="0"/>
          <w:numId w:val="1"/>
        </w:numPr>
      </w:pPr>
      <w:r>
        <w:t>Engage student voice.</w:t>
      </w:r>
    </w:p>
    <w:p w:rsidR="00892AD8" w:rsidRDefault="00FF68FF" w:rsidP="00892AD8">
      <w:pPr>
        <w:pStyle w:val="ListParagraph"/>
        <w:numPr>
          <w:ilvl w:val="0"/>
          <w:numId w:val="1"/>
        </w:numPr>
      </w:pPr>
      <w:r>
        <w:t>E</w:t>
      </w:r>
      <w:r w:rsidR="00892AD8">
        <w:t>ngage policy makers at different levels for a policy dialogue towards sustainability</w:t>
      </w:r>
      <w:r w:rsidR="00460FB4">
        <w:t>.</w:t>
      </w:r>
    </w:p>
    <w:p w:rsidR="00892AD8" w:rsidRDefault="00FF68FF" w:rsidP="00892AD8">
      <w:pPr>
        <w:pStyle w:val="ListParagraph"/>
        <w:numPr>
          <w:ilvl w:val="0"/>
          <w:numId w:val="1"/>
        </w:numPr>
      </w:pPr>
      <w:r>
        <w:t>Network among institutions and researchers</w:t>
      </w:r>
      <w:r w:rsidR="00460FB4">
        <w:t>.</w:t>
      </w:r>
    </w:p>
    <w:p w:rsidR="00FF68FF" w:rsidRDefault="00FF68FF" w:rsidP="00892AD8">
      <w:pPr>
        <w:pStyle w:val="ListParagraph"/>
        <w:numPr>
          <w:ilvl w:val="0"/>
          <w:numId w:val="1"/>
        </w:numPr>
      </w:pPr>
      <w:r>
        <w:t>Generate further research on teacher professional development and Professional Development schools</w:t>
      </w:r>
      <w:r w:rsidR="00460FB4">
        <w:t>.</w:t>
      </w:r>
    </w:p>
    <w:p w:rsidR="00FF68FF" w:rsidRDefault="00FF68FF" w:rsidP="00FF68FF">
      <w:pPr>
        <w:rPr>
          <w:b/>
          <w:bCs/>
        </w:rPr>
      </w:pPr>
      <w:r>
        <w:rPr>
          <w:b/>
          <w:bCs/>
        </w:rPr>
        <w:t>Participants:</w:t>
      </w:r>
    </w:p>
    <w:p w:rsidR="00FF68FF" w:rsidRDefault="00FF68FF" w:rsidP="00FF68FF">
      <w:r>
        <w:t>The participants will range from 250-300 comprising of the following categories:</w:t>
      </w:r>
    </w:p>
    <w:p w:rsidR="00FF68FF" w:rsidRDefault="00FF68FF" w:rsidP="00FF68FF">
      <w:pPr>
        <w:pStyle w:val="ListParagraph"/>
        <w:numPr>
          <w:ilvl w:val="0"/>
          <w:numId w:val="2"/>
        </w:numPr>
      </w:pPr>
      <w:r>
        <w:t>Egyptian Faculties of Education from EU projects</w:t>
      </w:r>
    </w:p>
    <w:p w:rsidR="008E5A5B" w:rsidRDefault="00FF68FF" w:rsidP="00FF68FF">
      <w:pPr>
        <w:pStyle w:val="ListParagraph"/>
        <w:numPr>
          <w:ilvl w:val="0"/>
          <w:numId w:val="2"/>
        </w:numPr>
      </w:pPr>
      <w:r>
        <w:t>Egyptian Faculties of Education from the  Action Research for All Schools ARAS Network</w:t>
      </w:r>
    </w:p>
    <w:p w:rsidR="008E5A5B" w:rsidRDefault="008E5A5B" w:rsidP="00FF68FF">
      <w:pPr>
        <w:pStyle w:val="ListParagraph"/>
        <w:numPr>
          <w:ilvl w:val="0"/>
          <w:numId w:val="2"/>
        </w:numPr>
      </w:pPr>
      <w:r>
        <w:lastRenderedPageBreak/>
        <w:t>Ministry of Education and Technical Education</w:t>
      </w:r>
    </w:p>
    <w:p w:rsidR="008E5A5B" w:rsidRDefault="008E5A5B" w:rsidP="00FF68FF">
      <w:pPr>
        <w:pStyle w:val="ListParagraph"/>
        <w:numPr>
          <w:ilvl w:val="0"/>
          <w:numId w:val="2"/>
        </w:numPr>
      </w:pPr>
      <w:r>
        <w:t>Professional Academy for teachers</w:t>
      </w:r>
    </w:p>
    <w:p w:rsidR="00FF68FF" w:rsidRDefault="00FF68FF" w:rsidP="00FF68FF">
      <w:pPr>
        <w:pStyle w:val="ListParagraph"/>
        <w:numPr>
          <w:ilvl w:val="0"/>
          <w:numId w:val="2"/>
        </w:numPr>
      </w:pPr>
      <w:r>
        <w:t xml:space="preserve"> </w:t>
      </w:r>
      <w:r w:rsidR="008E5A5B">
        <w:t>Ministry of Higher Education</w:t>
      </w:r>
    </w:p>
    <w:p w:rsidR="008E5A5B" w:rsidRDefault="008E5A5B" w:rsidP="00FF68FF">
      <w:pPr>
        <w:pStyle w:val="ListParagraph"/>
        <w:numPr>
          <w:ilvl w:val="0"/>
          <w:numId w:val="2"/>
        </w:numPr>
      </w:pPr>
      <w:r>
        <w:t>Specialized centers</w:t>
      </w:r>
    </w:p>
    <w:p w:rsidR="008E5A5B" w:rsidRDefault="008E5A5B" w:rsidP="00FF68FF">
      <w:pPr>
        <w:pStyle w:val="ListParagraph"/>
        <w:numPr>
          <w:ilvl w:val="0"/>
          <w:numId w:val="2"/>
        </w:numPr>
      </w:pPr>
      <w:r>
        <w:t>Research centers</w:t>
      </w:r>
    </w:p>
    <w:p w:rsidR="008E5A5B" w:rsidRDefault="008E5A5B" w:rsidP="00FF68FF">
      <w:pPr>
        <w:pStyle w:val="ListParagraph"/>
        <w:numPr>
          <w:ilvl w:val="0"/>
          <w:numId w:val="2"/>
        </w:numPr>
      </w:pPr>
      <w:r>
        <w:t>National Agency for  Quality Assurance and Accreditation in Education NAQAAE</w:t>
      </w:r>
    </w:p>
    <w:p w:rsidR="00FF68FF" w:rsidRDefault="00FF68FF" w:rsidP="00FF68FF">
      <w:pPr>
        <w:pStyle w:val="ListParagraph"/>
        <w:numPr>
          <w:ilvl w:val="0"/>
          <w:numId w:val="2"/>
        </w:numPr>
      </w:pPr>
      <w:r>
        <w:t>European Universities</w:t>
      </w:r>
    </w:p>
    <w:p w:rsidR="00FF68FF" w:rsidRDefault="00FF68FF" w:rsidP="00FF68FF">
      <w:pPr>
        <w:pStyle w:val="ListParagraph"/>
        <w:numPr>
          <w:ilvl w:val="0"/>
          <w:numId w:val="2"/>
        </w:numPr>
      </w:pPr>
      <w:r>
        <w:t>American Universities</w:t>
      </w:r>
    </w:p>
    <w:p w:rsidR="00FF68FF" w:rsidRDefault="00FF68FF" w:rsidP="00FF68FF">
      <w:pPr>
        <w:pStyle w:val="ListParagraph"/>
        <w:numPr>
          <w:ilvl w:val="0"/>
          <w:numId w:val="2"/>
        </w:numPr>
      </w:pPr>
      <w:r>
        <w:t>School teachers</w:t>
      </w:r>
    </w:p>
    <w:p w:rsidR="008E5A5B" w:rsidRDefault="00FF68FF" w:rsidP="00460FB4">
      <w:pPr>
        <w:pStyle w:val="ListParagraph"/>
        <w:numPr>
          <w:ilvl w:val="0"/>
          <w:numId w:val="2"/>
        </w:numPr>
      </w:pPr>
      <w:r>
        <w:t>Regional bodies</w:t>
      </w:r>
    </w:p>
    <w:p w:rsidR="00FF68FF" w:rsidRDefault="00FF68FF" w:rsidP="00FF68FF">
      <w:pPr>
        <w:pStyle w:val="ListParagraph"/>
        <w:numPr>
          <w:ilvl w:val="0"/>
          <w:numId w:val="2"/>
        </w:numPr>
      </w:pPr>
      <w:r>
        <w:t>UN agencies working on educational related topics</w:t>
      </w:r>
    </w:p>
    <w:p w:rsidR="00FF68FF" w:rsidRDefault="00FF68FF" w:rsidP="00FF68FF">
      <w:pPr>
        <w:pStyle w:val="ListParagraph"/>
        <w:numPr>
          <w:ilvl w:val="0"/>
          <w:numId w:val="2"/>
        </w:numPr>
      </w:pPr>
      <w:r>
        <w:t>NGOs  engaged with education</w:t>
      </w:r>
    </w:p>
    <w:p w:rsidR="008E5A5B" w:rsidRDefault="008E5A5B" w:rsidP="00FF68FF">
      <w:pPr>
        <w:pStyle w:val="ListParagraph"/>
        <w:numPr>
          <w:ilvl w:val="0"/>
          <w:numId w:val="2"/>
        </w:numPr>
      </w:pPr>
      <w:r>
        <w:t>Private sector</w:t>
      </w:r>
    </w:p>
    <w:p w:rsidR="00FF68FF" w:rsidRDefault="00FF68FF" w:rsidP="00FF68FF">
      <w:pPr>
        <w:pStyle w:val="ListParagraph"/>
        <w:numPr>
          <w:ilvl w:val="0"/>
          <w:numId w:val="2"/>
        </w:numPr>
      </w:pPr>
      <w:r>
        <w:t>Bilateral organizations</w:t>
      </w:r>
    </w:p>
    <w:p w:rsidR="00FF68FF" w:rsidRDefault="008E5A5B" w:rsidP="00FF68FF">
      <w:pPr>
        <w:pStyle w:val="ListParagraph"/>
        <w:numPr>
          <w:ilvl w:val="0"/>
          <w:numId w:val="2"/>
        </w:numPr>
      </w:pPr>
      <w:r>
        <w:t>Policy makers</w:t>
      </w:r>
    </w:p>
    <w:p w:rsidR="008E5A5B" w:rsidRDefault="008E5A5B" w:rsidP="00FF68FF">
      <w:pPr>
        <w:pStyle w:val="ListParagraph"/>
        <w:numPr>
          <w:ilvl w:val="0"/>
          <w:numId w:val="2"/>
        </w:numPr>
      </w:pPr>
      <w:r>
        <w:t>Media</w:t>
      </w:r>
    </w:p>
    <w:p w:rsidR="008E5A5B" w:rsidRDefault="008E5A5B" w:rsidP="00460FB4">
      <w:pPr>
        <w:rPr>
          <w:b/>
          <w:bCs/>
        </w:rPr>
      </w:pPr>
      <w:r>
        <w:rPr>
          <w:b/>
          <w:bCs/>
        </w:rPr>
        <w:t>Organization of Sessions:</w:t>
      </w:r>
    </w:p>
    <w:p w:rsidR="0085033C" w:rsidRDefault="008E5A5B" w:rsidP="008E5A5B">
      <w:r>
        <w:t xml:space="preserve">The first day of the conference will set the tone and discuss the project results and present the supportive research and evidence.   The second day of the conference will show case a major impact of the project with teachers presenting their school based research as a result of mentorship, reflection and participating in peer communities of learners.  </w:t>
      </w:r>
      <w:r w:rsidR="0085033C">
        <w:t>The third day will engage policy makers in a discussion around the way forward and the need to sustain the positive results of the project.</w:t>
      </w:r>
    </w:p>
    <w:p w:rsidR="008E5A5B" w:rsidRDefault="0085033C" w:rsidP="008E5A5B">
      <w:r>
        <w:t xml:space="preserve">The sessions will be held in panel form each with a particular theme that will highlight the specific </w:t>
      </w:r>
      <w:r w:rsidR="00EC01EF">
        <w:t xml:space="preserve">university </w:t>
      </w:r>
      <w:r>
        <w:t>case studies being presented.  Moreover the panel discussants will represent the twinning of Egyptian and European institutions established through the project.</w:t>
      </w:r>
      <w:r w:rsidR="00EC01EF">
        <w:t xml:space="preserve">  The panels will in addition highlight the school case studies within the partnership. </w:t>
      </w:r>
    </w:p>
    <w:p w:rsidR="00EC01EF" w:rsidRDefault="00EC01EF" w:rsidP="00EC01EF">
      <w:r>
        <w:t xml:space="preserve">The following table represents the agenda with </w:t>
      </w:r>
      <w:r w:rsidR="00460FB4">
        <w:t xml:space="preserve">the </w:t>
      </w:r>
      <w:r>
        <w:t>time allocated to each panel.  The actual presenters will be determined internally by each team.  Each panel should have a maximum of six presenters with a total of one hour and discussion for 30 minutes.</w:t>
      </w:r>
    </w:p>
    <w:p w:rsidR="00460FB4" w:rsidRDefault="00460FB4" w:rsidP="00460FB4">
      <w:pPr>
        <w:spacing w:line="240" w:lineRule="auto"/>
        <w:rPr>
          <w:i/>
          <w:iCs/>
        </w:rPr>
      </w:pPr>
      <w:r>
        <w:rPr>
          <w:i/>
          <w:iCs/>
        </w:rPr>
        <w:t>Day 1: Tuesday 24</w:t>
      </w:r>
      <w:r w:rsidRPr="00737B01">
        <w:rPr>
          <w:i/>
          <w:iCs/>
          <w:vertAlign w:val="superscript"/>
        </w:rPr>
        <w:t>th</w:t>
      </w:r>
      <w:r>
        <w:rPr>
          <w:i/>
          <w:iCs/>
        </w:rPr>
        <w:t xml:space="preserve"> of March, 2020</w:t>
      </w:r>
    </w:p>
    <w:p w:rsidR="00460FB4" w:rsidRPr="002720A1" w:rsidRDefault="00460FB4" w:rsidP="00460FB4">
      <w:pPr>
        <w:spacing w:line="240" w:lineRule="auto"/>
        <w:rPr>
          <w:i/>
          <w:iCs/>
        </w:rPr>
      </w:pPr>
      <w:r>
        <w:rPr>
          <w:i/>
          <w:iCs/>
        </w:rPr>
        <w:t xml:space="preserve">Venue:   </w:t>
      </w:r>
      <w:proofErr w:type="spellStart"/>
      <w:r>
        <w:rPr>
          <w:i/>
          <w:iCs/>
        </w:rPr>
        <w:t>Moataz</w:t>
      </w:r>
      <w:proofErr w:type="spellEnd"/>
      <w:r>
        <w:rPr>
          <w:i/>
          <w:iCs/>
        </w:rPr>
        <w:t xml:space="preserve"> El </w:t>
      </w:r>
      <w:proofErr w:type="spellStart"/>
      <w:r>
        <w:rPr>
          <w:i/>
          <w:iCs/>
        </w:rPr>
        <w:t>Alfi</w:t>
      </w:r>
      <w:proofErr w:type="spellEnd"/>
      <w:r>
        <w:rPr>
          <w:i/>
          <w:iCs/>
        </w:rPr>
        <w:t>, AUC</w:t>
      </w:r>
    </w:p>
    <w:tbl>
      <w:tblPr>
        <w:tblStyle w:val="TableGrid"/>
        <w:tblW w:w="0" w:type="auto"/>
        <w:tblLook w:val="04A0" w:firstRow="1" w:lastRow="0" w:firstColumn="1" w:lastColumn="0" w:noHBand="0" w:noVBand="1"/>
      </w:tblPr>
      <w:tblGrid>
        <w:gridCol w:w="2216"/>
        <w:gridCol w:w="7134"/>
      </w:tblGrid>
      <w:tr w:rsidR="00460FB4" w:rsidTr="00C84730">
        <w:tc>
          <w:tcPr>
            <w:tcW w:w="2216" w:type="dxa"/>
            <w:shd w:val="clear" w:color="auto" w:fill="8DB3E2" w:themeFill="text2" w:themeFillTint="66"/>
          </w:tcPr>
          <w:p w:rsidR="00460FB4" w:rsidRPr="006D36BB" w:rsidRDefault="00460FB4" w:rsidP="00C84730">
            <w:r w:rsidRPr="006D36BB">
              <w:t>Time</w:t>
            </w:r>
          </w:p>
        </w:tc>
        <w:tc>
          <w:tcPr>
            <w:tcW w:w="7134" w:type="dxa"/>
            <w:shd w:val="clear" w:color="auto" w:fill="8DB3E2" w:themeFill="text2" w:themeFillTint="66"/>
          </w:tcPr>
          <w:p w:rsidR="00460FB4" w:rsidRPr="00B170CF" w:rsidRDefault="00460FB4" w:rsidP="00C84730">
            <w:r w:rsidRPr="006D36BB">
              <w:t>Activity</w:t>
            </w:r>
          </w:p>
        </w:tc>
      </w:tr>
      <w:tr w:rsidR="00460FB4" w:rsidTr="00C84730">
        <w:tc>
          <w:tcPr>
            <w:tcW w:w="2216" w:type="dxa"/>
            <w:shd w:val="clear" w:color="auto" w:fill="auto"/>
          </w:tcPr>
          <w:p w:rsidR="00460FB4" w:rsidRPr="006D36BB" w:rsidRDefault="00460FB4" w:rsidP="00C84730">
            <w:r>
              <w:t>9:00 – 10</w:t>
            </w:r>
            <w:r w:rsidRPr="006D36BB">
              <w:t>:</w:t>
            </w:r>
            <w:r>
              <w:t>0</w:t>
            </w:r>
            <w:r w:rsidRPr="006D36BB">
              <w:t>0 am</w:t>
            </w:r>
          </w:p>
        </w:tc>
        <w:tc>
          <w:tcPr>
            <w:tcW w:w="7134" w:type="dxa"/>
            <w:shd w:val="clear" w:color="auto" w:fill="auto"/>
          </w:tcPr>
          <w:p w:rsidR="00460FB4" w:rsidRPr="00581003" w:rsidRDefault="00460FB4" w:rsidP="00C84730">
            <w:pPr>
              <w:rPr>
                <w:rFonts w:eastAsia="Times New Roman" w:cs="Times New Roman"/>
              </w:rPr>
            </w:pPr>
            <w:r w:rsidRPr="006D36BB">
              <w:rPr>
                <w:rFonts w:eastAsia="Times New Roman" w:cs="Times New Roman"/>
                <w:b/>
                <w:bCs/>
              </w:rPr>
              <w:t>Session One:</w:t>
            </w:r>
            <w:r>
              <w:rPr>
                <w:rFonts w:eastAsia="Times New Roman" w:cs="Times New Roman"/>
              </w:rPr>
              <w:t xml:space="preserve"> Opening and Greetings</w:t>
            </w:r>
          </w:p>
        </w:tc>
      </w:tr>
      <w:tr w:rsidR="00460FB4" w:rsidTr="00C84730">
        <w:tc>
          <w:tcPr>
            <w:tcW w:w="2216" w:type="dxa"/>
            <w:shd w:val="clear" w:color="auto" w:fill="auto"/>
          </w:tcPr>
          <w:p w:rsidR="00460FB4" w:rsidRDefault="00460FB4" w:rsidP="00C84730">
            <w:r>
              <w:t>10:00 – 10:30 am</w:t>
            </w:r>
          </w:p>
        </w:tc>
        <w:tc>
          <w:tcPr>
            <w:tcW w:w="7134" w:type="dxa"/>
            <w:shd w:val="clear" w:color="auto" w:fill="auto"/>
          </w:tcPr>
          <w:p w:rsidR="00460FB4" w:rsidRPr="006D36BB" w:rsidRDefault="00460FB4" w:rsidP="00C84730">
            <w:pPr>
              <w:rPr>
                <w:rFonts w:eastAsia="Times New Roman" w:cs="Times New Roman"/>
                <w:b/>
                <w:bCs/>
              </w:rPr>
            </w:pPr>
            <w:r>
              <w:rPr>
                <w:rFonts w:eastAsia="Times New Roman" w:cs="Times New Roman"/>
                <w:b/>
                <w:bCs/>
              </w:rPr>
              <w:t xml:space="preserve">Session Two: </w:t>
            </w:r>
            <w:r w:rsidRPr="005B6C38">
              <w:rPr>
                <w:rFonts w:eastAsia="Times New Roman" w:cs="Times New Roman"/>
              </w:rPr>
              <w:t>Overview of School-University Partnership for Peer Communities of Learners</w:t>
            </w:r>
          </w:p>
        </w:tc>
      </w:tr>
      <w:tr w:rsidR="00460FB4" w:rsidTr="00C84730">
        <w:tc>
          <w:tcPr>
            <w:tcW w:w="2216" w:type="dxa"/>
            <w:shd w:val="clear" w:color="auto" w:fill="auto"/>
          </w:tcPr>
          <w:p w:rsidR="00460FB4" w:rsidRDefault="00460FB4" w:rsidP="00C84730">
            <w:r>
              <w:t>10:30 – 12:00 pm</w:t>
            </w:r>
          </w:p>
        </w:tc>
        <w:tc>
          <w:tcPr>
            <w:tcW w:w="7134" w:type="dxa"/>
            <w:shd w:val="clear" w:color="auto" w:fill="auto"/>
          </w:tcPr>
          <w:p w:rsidR="00460FB4" w:rsidRPr="00B170CF" w:rsidRDefault="00460FB4" w:rsidP="00C84730">
            <w:pPr>
              <w:rPr>
                <w:rFonts w:eastAsia="Times New Roman" w:cs="Times New Roman"/>
              </w:rPr>
            </w:pPr>
            <w:r>
              <w:rPr>
                <w:rFonts w:eastAsia="Times New Roman" w:cs="Times New Roman"/>
                <w:b/>
                <w:bCs/>
              </w:rPr>
              <w:t xml:space="preserve">Session Three: </w:t>
            </w:r>
            <w:r w:rsidRPr="005B6C38">
              <w:rPr>
                <w:rFonts w:eastAsia="Times New Roman" w:cs="Times New Roman"/>
              </w:rPr>
              <w:t>Panel 1: Reform and Professional Development Schools</w:t>
            </w:r>
            <w:r>
              <w:rPr>
                <w:rFonts w:eastAsia="Times New Roman" w:cs="Times New Roman"/>
              </w:rPr>
              <w:t xml:space="preserve"> (AUC &amp; ULEIC)</w:t>
            </w:r>
          </w:p>
        </w:tc>
      </w:tr>
      <w:tr w:rsidR="00460FB4" w:rsidTr="00C84730">
        <w:trPr>
          <w:trHeight w:val="311"/>
        </w:trPr>
        <w:tc>
          <w:tcPr>
            <w:tcW w:w="2216" w:type="dxa"/>
            <w:shd w:val="clear" w:color="auto" w:fill="BFBFBF" w:themeFill="background1" w:themeFillShade="BF"/>
          </w:tcPr>
          <w:p w:rsidR="00460FB4" w:rsidRPr="006D36BB" w:rsidRDefault="00460FB4" w:rsidP="00C84730">
            <w:r>
              <w:lastRenderedPageBreak/>
              <w:t>12:00 - 12:3</w:t>
            </w:r>
            <w:r w:rsidRPr="006D36BB">
              <w:t>0 pm</w:t>
            </w:r>
          </w:p>
        </w:tc>
        <w:tc>
          <w:tcPr>
            <w:tcW w:w="7134" w:type="dxa"/>
            <w:shd w:val="clear" w:color="auto" w:fill="BFBFBF" w:themeFill="background1" w:themeFillShade="BF"/>
          </w:tcPr>
          <w:p w:rsidR="00460FB4" w:rsidRPr="006D36BB" w:rsidRDefault="00460FB4" w:rsidP="00C84730">
            <w:pPr>
              <w:rPr>
                <w:rFonts w:eastAsia="Times New Roman" w:cs="Times New Roman"/>
              </w:rPr>
            </w:pPr>
            <w:r w:rsidRPr="006D36BB">
              <w:rPr>
                <w:rFonts w:eastAsia="Times New Roman" w:cs="Times New Roman"/>
              </w:rPr>
              <w:t>Coffee Break</w:t>
            </w:r>
          </w:p>
        </w:tc>
      </w:tr>
      <w:tr w:rsidR="00460FB4" w:rsidTr="00C84730">
        <w:tc>
          <w:tcPr>
            <w:tcW w:w="2216" w:type="dxa"/>
            <w:shd w:val="clear" w:color="auto" w:fill="auto"/>
          </w:tcPr>
          <w:p w:rsidR="00460FB4" w:rsidRPr="006D36BB" w:rsidRDefault="00460FB4" w:rsidP="00C84730">
            <w:r>
              <w:t>12:30 - 14</w:t>
            </w:r>
            <w:r w:rsidRPr="006D36BB">
              <w:t>:</w:t>
            </w:r>
            <w:r>
              <w:t>0</w:t>
            </w:r>
            <w:r w:rsidRPr="006D36BB">
              <w:t>0</w:t>
            </w:r>
          </w:p>
        </w:tc>
        <w:tc>
          <w:tcPr>
            <w:tcW w:w="7134" w:type="dxa"/>
            <w:shd w:val="clear" w:color="auto" w:fill="auto"/>
          </w:tcPr>
          <w:p w:rsidR="00460FB4" w:rsidRPr="00581003" w:rsidRDefault="00460FB4" w:rsidP="00C84730">
            <w:r w:rsidRPr="006D36BB">
              <w:rPr>
                <w:b/>
                <w:bCs/>
              </w:rPr>
              <w:t xml:space="preserve">Session </w:t>
            </w:r>
            <w:r>
              <w:rPr>
                <w:b/>
                <w:bCs/>
              </w:rPr>
              <w:t>Four</w:t>
            </w:r>
            <w:r w:rsidRPr="006D36BB">
              <w:rPr>
                <w:b/>
                <w:bCs/>
              </w:rPr>
              <w:t>:</w:t>
            </w:r>
            <w:r w:rsidRPr="006D36BB">
              <w:t xml:space="preserve"> </w:t>
            </w:r>
            <w:r>
              <w:t>Panel 2: Peer Communities of Learners and Mentorship (ANSU &amp; UL)</w:t>
            </w:r>
          </w:p>
        </w:tc>
      </w:tr>
      <w:tr w:rsidR="00460FB4" w:rsidTr="00C84730">
        <w:tc>
          <w:tcPr>
            <w:tcW w:w="2216" w:type="dxa"/>
            <w:shd w:val="clear" w:color="auto" w:fill="auto"/>
          </w:tcPr>
          <w:p w:rsidR="00460FB4" w:rsidRDefault="00460FB4" w:rsidP="00C84730">
            <w:r>
              <w:t>14:00 – 15:30</w:t>
            </w:r>
          </w:p>
        </w:tc>
        <w:tc>
          <w:tcPr>
            <w:tcW w:w="7134" w:type="dxa"/>
            <w:shd w:val="clear" w:color="auto" w:fill="auto"/>
          </w:tcPr>
          <w:p w:rsidR="00460FB4" w:rsidRPr="006D36BB" w:rsidRDefault="00460FB4" w:rsidP="00C84730">
            <w:pPr>
              <w:rPr>
                <w:b/>
                <w:bCs/>
              </w:rPr>
            </w:pPr>
            <w:r>
              <w:rPr>
                <w:b/>
                <w:bCs/>
              </w:rPr>
              <w:t xml:space="preserve">Session Five: </w:t>
            </w:r>
            <w:r w:rsidRPr="005B6C38">
              <w:t>Panel 3:</w:t>
            </w:r>
            <w:r>
              <w:rPr>
                <w:b/>
                <w:bCs/>
              </w:rPr>
              <w:t xml:space="preserve"> </w:t>
            </w:r>
            <w:r w:rsidRPr="005B6C38">
              <w:t>Reflection, Mentorship and Qualitative Research</w:t>
            </w:r>
            <w:r>
              <w:t xml:space="preserve"> (AU &amp; </w:t>
            </w:r>
            <w:proofErr w:type="spellStart"/>
            <w:r>
              <w:t>UoN</w:t>
            </w:r>
            <w:proofErr w:type="spellEnd"/>
            <w:r>
              <w:t>)</w:t>
            </w:r>
          </w:p>
        </w:tc>
      </w:tr>
      <w:tr w:rsidR="00460FB4" w:rsidRPr="006D36BB" w:rsidTr="00C84730">
        <w:trPr>
          <w:trHeight w:val="311"/>
        </w:trPr>
        <w:tc>
          <w:tcPr>
            <w:tcW w:w="2216" w:type="dxa"/>
            <w:shd w:val="clear" w:color="auto" w:fill="BFBFBF" w:themeFill="background1" w:themeFillShade="BF"/>
          </w:tcPr>
          <w:p w:rsidR="00460FB4" w:rsidRPr="006D36BB" w:rsidRDefault="00460FB4" w:rsidP="00C84730">
            <w:r>
              <w:t>15:30 - 16:0</w:t>
            </w:r>
            <w:r w:rsidRPr="006D36BB">
              <w:t>0 pm</w:t>
            </w:r>
          </w:p>
        </w:tc>
        <w:tc>
          <w:tcPr>
            <w:tcW w:w="7134" w:type="dxa"/>
            <w:shd w:val="clear" w:color="auto" w:fill="BFBFBF" w:themeFill="background1" w:themeFillShade="BF"/>
          </w:tcPr>
          <w:p w:rsidR="00460FB4" w:rsidRPr="006D36BB" w:rsidRDefault="00460FB4" w:rsidP="00C84730">
            <w:pPr>
              <w:rPr>
                <w:rFonts w:eastAsia="Times New Roman" w:cs="Times New Roman"/>
              </w:rPr>
            </w:pPr>
            <w:r>
              <w:rPr>
                <w:rFonts w:eastAsia="Times New Roman" w:cs="Times New Roman"/>
              </w:rPr>
              <w:t>Lunch</w:t>
            </w:r>
            <w:r w:rsidRPr="006D36BB">
              <w:rPr>
                <w:rFonts w:eastAsia="Times New Roman" w:cs="Times New Roman"/>
              </w:rPr>
              <w:t xml:space="preserve"> Break</w:t>
            </w:r>
          </w:p>
        </w:tc>
      </w:tr>
      <w:tr w:rsidR="00460FB4" w:rsidTr="00C84730">
        <w:trPr>
          <w:trHeight w:val="345"/>
        </w:trPr>
        <w:tc>
          <w:tcPr>
            <w:tcW w:w="2216" w:type="dxa"/>
            <w:shd w:val="clear" w:color="auto" w:fill="auto"/>
          </w:tcPr>
          <w:p w:rsidR="00460FB4" w:rsidRPr="006D36BB" w:rsidRDefault="00460FB4" w:rsidP="00C84730">
            <w:r>
              <w:t>16:00 – 17:30</w:t>
            </w:r>
          </w:p>
        </w:tc>
        <w:tc>
          <w:tcPr>
            <w:tcW w:w="7134" w:type="dxa"/>
            <w:shd w:val="clear" w:color="auto" w:fill="auto"/>
          </w:tcPr>
          <w:p w:rsidR="00460FB4" w:rsidRPr="00581003" w:rsidRDefault="00460FB4" w:rsidP="00C84730">
            <w:r>
              <w:rPr>
                <w:b/>
                <w:bCs/>
              </w:rPr>
              <w:t xml:space="preserve">Session Six: </w:t>
            </w:r>
            <w:r>
              <w:t>Panel 4: The Use of Technology in PCLs (HU &amp; MLU)</w:t>
            </w:r>
          </w:p>
        </w:tc>
      </w:tr>
      <w:tr w:rsidR="00460FB4" w:rsidTr="00C84730">
        <w:trPr>
          <w:trHeight w:val="345"/>
        </w:trPr>
        <w:tc>
          <w:tcPr>
            <w:tcW w:w="2216" w:type="dxa"/>
            <w:shd w:val="clear" w:color="auto" w:fill="auto"/>
          </w:tcPr>
          <w:p w:rsidR="00460FB4" w:rsidRDefault="00460FB4" w:rsidP="00C84730">
            <w:r>
              <w:t>17:30 – 18:00</w:t>
            </w:r>
          </w:p>
        </w:tc>
        <w:tc>
          <w:tcPr>
            <w:tcW w:w="7134" w:type="dxa"/>
            <w:shd w:val="clear" w:color="auto" w:fill="auto"/>
          </w:tcPr>
          <w:p w:rsidR="00460FB4" w:rsidRDefault="00460FB4" w:rsidP="00C84730">
            <w:pPr>
              <w:rPr>
                <w:b/>
                <w:bCs/>
              </w:rPr>
            </w:pPr>
            <w:r>
              <w:rPr>
                <w:b/>
                <w:bCs/>
              </w:rPr>
              <w:t xml:space="preserve">Session Seven: </w:t>
            </w:r>
            <w:r w:rsidRPr="005B6C38">
              <w:t>Wrap Up</w:t>
            </w:r>
          </w:p>
        </w:tc>
      </w:tr>
    </w:tbl>
    <w:p w:rsidR="00460FB4" w:rsidRDefault="00460FB4" w:rsidP="00460FB4"/>
    <w:p w:rsidR="00460FB4" w:rsidRDefault="00460FB4" w:rsidP="00460FB4">
      <w:pPr>
        <w:rPr>
          <w:i/>
          <w:iCs/>
        </w:rPr>
      </w:pPr>
      <w:r>
        <w:rPr>
          <w:i/>
          <w:iCs/>
        </w:rPr>
        <w:t>Day 2: Wednesday 25</w:t>
      </w:r>
      <w:r w:rsidRPr="00737B01">
        <w:rPr>
          <w:i/>
          <w:iCs/>
          <w:vertAlign w:val="superscript"/>
        </w:rPr>
        <w:t>th</w:t>
      </w:r>
      <w:r>
        <w:rPr>
          <w:i/>
          <w:iCs/>
        </w:rPr>
        <w:t xml:space="preserve"> of March, 2020</w:t>
      </w:r>
    </w:p>
    <w:p w:rsidR="00460FB4" w:rsidRPr="002720A1" w:rsidRDefault="00460FB4" w:rsidP="00460FB4">
      <w:pPr>
        <w:rPr>
          <w:i/>
          <w:iCs/>
        </w:rPr>
      </w:pPr>
      <w:r>
        <w:rPr>
          <w:i/>
          <w:iCs/>
        </w:rPr>
        <w:t xml:space="preserve">Venue:   </w:t>
      </w:r>
      <w:proofErr w:type="spellStart"/>
      <w:r>
        <w:rPr>
          <w:i/>
          <w:iCs/>
        </w:rPr>
        <w:t>Moataz</w:t>
      </w:r>
      <w:proofErr w:type="spellEnd"/>
      <w:r>
        <w:rPr>
          <w:i/>
          <w:iCs/>
        </w:rPr>
        <w:t xml:space="preserve"> El </w:t>
      </w:r>
      <w:proofErr w:type="spellStart"/>
      <w:r>
        <w:rPr>
          <w:i/>
          <w:iCs/>
        </w:rPr>
        <w:t>Alfi</w:t>
      </w:r>
      <w:proofErr w:type="spellEnd"/>
      <w:r>
        <w:rPr>
          <w:i/>
          <w:iCs/>
        </w:rPr>
        <w:t>, AUC</w:t>
      </w:r>
    </w:p>
    <w:tbl>
      <w:tblPr>
        <w:tblStyle w:val="TableGrid"/>
        <w:tblW w:w="0" w:type="auto"/>
        <w:tblLook w:val="04A0" w:firstRow="1" w:lastRow="0" w:firstColumn="1" w:lastColumn="0" w:noHBand="0" w:noVBand="1"/>
      </w:tblPr>
      <w:tblGrid>
        <w:gridCol w:w="2216"/>
        <w:gridCol w:w="7134"/>
      </w:tblGrid>
      <w:tr w:rsidR="00460FB4" w:rsidTr="00C84730">
        <w:tc>
          <w:tcPr>
            <w:tcW w:w="2216" w:type="dxa"/>
            <w:shd w:val="clear" w:color="auto" w:fill="8DB3E2" w:themeFill="text2" w:themeFillTint="66"/>
          </w:tcPr>
          <w:p w:rsidR="00460FB4" w:rsidRPr="006D36BB" w:rsidRDefault="00460FB4" w:rsidP="00C84730">
            <w:r w:rsidRPr="006D36BB">
              <w:t>Time</w:t>
            </w:r>
          </w:p>
          <w:p w:rsidR="00460FB4" w:rsidRPr="006D36BB" w:rsidRDefault="00460FB4" w:rsidP="00C84730"/>
        </w:tc>
        <w:tc>
          <w:tcPr>
            <w:tcW w:w="7134" w:type="dxa"/>
            <w:shd w:val="clear" w:color="auto" w:fill="8DB3E2" w:themeFill="text2" w:themeFillTint="66"/>
          </w:tcPr>
          <w:p w:rsidR="00460FB4" w:rsidRPr="006D36BB" w:rsidRDefault="00460FB4" w:rsidP="00C84730">
            <w:r w:rsidRPr="006D36BB">
              <w:t>Activity</w:t>
            </w:r>
          </w:p>
        </w:tc>
      </w:tr>
      <w:tr w:rsidR="00460FB4" w:rsidTr="00C84730">
        <w:tc>
          <w:tcPr>
            <w:tcW w:w="2216" w:type="dxa"/>
            <w:shd w:val="clear" w:color="auto" w:fill="auto"/>
          </w:tcPr>
          <w:p w:rsidR="00460FB4" w:rsidRPr="006D36BB" w:rsidRDefault="00460FB4" w:rsidP="00C84730">
            <w:r>
              <w:t>9:30 – 10</w:t>
            </w:r>
            <w:r w:rsidRPr="006D36BB">
              <w:t>:</w:t>
            </w:r>
            <w:r>
              <w:t>3</w:t>
            </w:r>
            <w:r w:rsidRPr="006D36BB">
              <w:t>0 am</w:t>
            </w:r>
          </w:p>
        </w:tc>
        <w:tc>
          <w:tcPr>
            <w:tcW w:w="7134" w:type="dxa"/>
            <w:shd w:val="clear" w:color="auto" w:fill="auto"/>
          </w:tcPr>
          <w:p w:rsidR="00460FB4" w:rsidRPr="00581003" w:rsidRDefault="00460FB4" w:rsidP="000D609B">
            <w:pPr>
              <w:rPr>
                <w:rFonts w:eastAsia="Times New Roman" w:cs="Times New Roman"/>
              </w:rPr>
            </w:pPr>
            <w:r w:rsidRPr="006D36BB">
              <w:rPr>
                <w:rFonts w:eastAsia="Times New Roman" w:cs="Times New Roman"/>
                <w:b/>
                <w:bCs/>
              </w:rPr>
              <w:t>Session One:</w:t>
            </w:r>
            <w:r>
              <w:rPr>
                <w:rFonts w:eastAsia="Times New Roman" w:cs="Times New Roman"/>
              </w:rPr>
              <w:t xml:space="preserve"> Greetings and Setting the Stage </w:t>
            </w:r>
          </w:p>
        </w:tc>
      </w:tr>
      <w:tr w:rsidR="00460FB4" w:rsidTr="00C84730">
        <w:tc>
          <w:tcPr>
            <w:tcW w:w="2216" w:type="dxa"/>
            <w:shd w:val="clear" w:color="auto" w:fill="auto"/>
          </w:tcPr>
          <w:p w:rsidR="00460FB4" w:rsidRDefault="00460FB4" w:rsidP="00C84730">
            <w:r>
              <w:t>10:30 – 12:00 pm</w:t>
            </w:r>
          </w:p>
        </w:tc>
        <w:tc>
          <w:tcPr>
            <w:tcW w:w="7134" w:type="dxa"/>
            <w:shd w:val="clear" w:color="auto" w:fill="auto"/>
          </w:tcPr>
          <w:p w:rsidR="00460FB4" w:rsidRPr="006D36BB" w:rsidRDefault="00460FB4" w:rsidP="00C84730">
            <w:pPr>
              <w:rPr>
                <w:rFonts w:eastAsia="Times New Roman" w:cs="Times New Roman"/>
                <w:b/>
                <w:bCs/>
              </w:rPr>
            </w:pPr>
            <w:r>
              <w:rPr>
                <w:rFonts w:eastAsia="Times New Roman" w:cs="Times New Roman"/>
                <w:b/>
                <w:bCs/>
              </w:rPr>
              <w:t xml:space="preserve">Session Two: </w:t>
            </w:r>
            <w:r w:rsidRPr="003B3021">
              <w:rPr>
                <w:rFonts w:eastAsia="Times New Roman" w:cs="Times New Roman"/>
              </w:rPr>
              <w:t>Teachers’ Voice</w:t>
            </w:r>
            <w:r>
              <w:rPr>
                <w:rFonts w:eastAsia="Times New Roman" w:cs="Times New Roman"/>
                <w:b/>
                <w:bCs/>
              </w:rPr>
              <w:t xml:space="preserve"> on Student Empowerment </w:t>
            </w:r>
          </w:p>
        </w:tc>
      </w:tr>
      <w:tr w:rsidR="00460FB4" w:rsidTr="00C84730">
        <w:trPr>
          <w:trHeight w:val="311"/>
        </w:trPr>
        <w:tc>
          <w:tcPr>
            <w:tcW w:w="2216" w:type="dxa"/>
            <w:shd w:val="clear" w:color="auto" w:fill="BFBFBF" w:themeFill="background1" w:themeFillShade="BF"/>
          </w:tcPr>
          <w:p w:rsidR="00460FB4" w:rsidRPr="006D36BB" w:rsidRDefault="00460FB4" w:rsidP="00C84730">
            <w:r>
              <w:t>12:00 pm - 12:3</w:t>
            </w:r>
            <w:r w:rsidRPr="006D36BB">
              <w:t>0 pm</w:t>
            </w:r>
          </w:p>
        </w:tc>
        <w:tc>
          <w:tcPr>
            <w:tcW w:w="7134" w:type="dxa"/>
            <w:shd w:val="clear" w:color="auto" w:fill="BFBFBF" w:themeFill="background1" w:themeFillShade="BF"/>
          </w:tcPr>
          <w:p w:rsidR="00460FB4" w:rsidRPr="006D36BB" w:rsidRDefault="00460FB4" w:rsidP="00C84730">
            <w:pPr>
              <w:rPr>
                <w:rFonts w:eastAsia="Times New Roman" w:cs="Times New Roman"/>
              </w:rPr>
            </w:pPr>
            <w:r w:rsidRPr="006D36BB">
              <w:rPr>
                <w:rFonts w:eastAsia="Times New Roman" w:cs="Times New Roman"/>
              </w:rPr>
              <w:t>Coffee Break</w:t>
            </w:r>
          </w:p>
        </w:tc>
      </w:tr>
      <w:tr w:rsidR="00460FB4" w:rsidTr="00C84730">
        <w:tc>
          <w:tcPr>
            <w:tcW w:w="2216" w:type="dxa"/>
            <w:shd w:val="clear" w:color="auto" w:fill="auto"/>
          </w:tcPr>
          <w:p w:rsidR="00460FB4" w:rsidRPr="006D36BB" w:rsidRDefault="00460FB4" w:rsidP="00C84730">
            <w:r>
              <w:t>12:30 pm- 14</w:t>
            </w:r>
            <w:r w:rsidRPr="006D36BB">
              <w:t>:</w:t>
            </w:r>
            <w:r>
              <w:t>0</w:t>
            </w:r>
            <w:r w:rsidRPr="006D36BB">
              <w:t>0</w:t>
            </w:r>
          </w:p>
        </w:tc>
        <w:tc>
          <w:tcPr>
            <w:tcW w:w="7134" w:type="dxa"/>
            <w:shd w:val="clear" w:color="auto" w:fill="auto"/>
          </w:tcPr>
          <w:p w:rsidR="00460FB4" w:rsidRPr="005542C5" w:rsidRDefault="00460FB4" w:rsidP="00C84730">
            <w:pPr>
              <w:rPr>
                <w:lang w:val="en-GB"/>
              </w:rPr>
            </w:pPr>
            <w:r w:rsidRPr="006D36BB">
              <w:rPr>
                <w:b/>
                <w:bCs/>
              </w:rPr>
              <w:t xml:space="preserve">Session </w:t>
            </w:r>
            <w:r>
              <w:rPr>
                <w:b/>
                <w:bCs/>
              </w:rPr>
              <w:t>Three</w:t>
            </w:r>
            <w:r w:rsidRPr="006D36BB">
              <w:rPr>
                <w:b/>
                <w:bCs/>
              </w:rPr>
              <w:t>:</w:t>
            </w:r>
            <w:r w:rsidRPr="006D36BB">
              <w:t xml:space="preserve"> </w:t>
            </w:r>
            <w:r>
              <w:t xml:space="preserve">Teachers’ Voice on their Professional Development </w:t>
            </w:r>
          </w:p>
        </w:tc>
      </w:tr>
      <w:tr w:rsidR="00460FB4" w:rsidTr="00C84730">
        <w:tc>
          <w:tcPr>
            <w:tcW w:w="2216" w:type="dxa"/>
            <w:shd w:val="clear" w:color="auto" w:fill="auto"/>
          </w:tcPr>
          <w:p w:rsidR="00460FB4" w:rsidRDefault="00460FB4" w:rsidP="00C84730">
            <w:r>
              <w:t>14:00 – 15:30</w:t>
            </w:r>
          </w:p>
        </w:tc>
        <w:tc>
          <w:tcPr>
            <w:tcW w:w="7134" w:type="dxa"/>
            <w:shd w:val="clear" w:color="auto" w:fill="auto"/>
          </w:tcPr>
          <w:p w:rsidR="00460FB4" w:rsidRPr="006D36BB" w:rsidRDefault="00460FB4" w:rsidP="00C84730">
            <w:pPr>
              <w:rPr>
                <w:b/>
                <w:bCs/>
              </w:rPr>
            </w:pPr>
            <w:r>
              <w:rPr>
                <w:b/>
                <w:bCs/>
              </w:rPr>
              <w:t xml:space="preserve">Session Four: </w:t>
            </w:r>
            <w:r w:rsidRPr="0093048D">
              <w:t>Teachers’ Voice</w:t>
            </w:r>
            <w:r>
              <w:t xml:space="preserve"> on the Integration of Subjects and Skills</w:t>
            </w:r>
          </w:p>
        </w:tc>
      </w:tr>
      <w:tr w:rsidR="00460FB4" w:rsidRPr="006D36BB" w:rsidTr="00C84730">
        <w:trPr>
          <w:trHeight w:val="311"/>
        </w:trPr>
        <w:tc>
          <w:tcPr>
            <w:tcW w:w="2216" w:type="dxa"/>
            <w:shd w:val="clear" w:color="auto" w:fill="BFBFBF" w:themeFill="background1" w:themeFillShade="BF"/>
          </w:tcPr>
          <w:p w:rsidR="00460FB4" w:rsidRPr="006D36BB" w:rsidRDefault="00460FB4" w:rsidP="00C84730">
            <w:r>
              <w:t xml:space="preserve">15:30 - 16:00 </w:t>
            </w:r>
          </w:p>
        </w:tc>
        <w:tc>
          <w:tcPr>
            <w:tcW w:w="7134" w:type="dxa"/>
            <w:shd w:val="clear" w:color="auto" w:fill="BFBFBF" w:themeFill="background1" w:themeFillShade="BF"/>
          </w:tcPr>
          <w:p w:rsidR="00460FB4" w:rsidRPr="006D36BB" w:rsidRDefault="00460FB4" w:rsidP="00C84730">
            <w:pPr>
              <w:rPr>
                <w:rFonts w:eastAsia="Times New Roman" w:cs="Times New Roman"/>
              </w:rPr>
            </w:pPr>
            <w:r>
              <w:rPr>
                <w:rFonts w:eastAsia="Times New Roman" w:cs="Times New Roman"/>
              </w:rPr>
              <w:t>Lunch</w:t>
            </w:r>
            <w:r w:rsidRPr="006D36BB">
              <w:rPr>
                <w:rFonts w:eastAsia="Times New Roman" w:cs="Times New Roman"/>
              </w:rPr>
              <w:t xml:space="preserve"> Break</w:t>
            </w:r>
          </w:p>
        </w:tc>
      </w:tr>
      <w:tr w:rsidR="00460FB4" w:rsidTr="00C84730">
        <w:trPr>
          <w:trHeight w:val="345"/>
        </w:trPr>
        <w:tc>
          <w:tcPr>
            <w:tcW w:w="2216" w:type="dxa"/>
            <w:shd w:val="clear" w:color="auto" w:fill="auto"/>
          </w:tcPr>
          <w:p w:rsidR="00460FB4" w:rsidRPr="006D36BB" w:rsidRDefault="00460FB4" w:rsidP="00C84730">
            <w:r>
              <w:t>16:00 – 16:20</w:t>
            </w:r>
          </w:p>
        </w:tc>
        <w:tc>
          <w:tcPr>
            <w:tcW w:w="7134" w:type="dxa"/>
            <w:shd w:val="clear" w:color="auto" w:fill="auto"/>
          </w:tcPr>
          <w:p w:rsidR="00460FB4" w:rsidRPr="00581003" w:rsidRDefault="00460FB4" w:rsidP="000D609B">
            <w:r>
              <w:rPr>
                <w:b/>
                <w:bCs/>
              </w:rPr>
              <w:t xml:space="preserve">Session Five: </w:t>
            </w:r>
            <w:r>
              <w:t xml:space="preserve">Teacher as Agent of Change </w:t>
            </w:r>
          </w:p>
        </w:tc>
      </w:tr>
      <w:tr w:rsidR="00460FB4" w:rsidTr="00C84730">
        <w:trPr>
          <w:trHeight w:val="345"/>
        </w:trPr>
        <w:tc>
          <w:tcPr>
            <w:tcW w:w="2216" w:type="dxa"/>
            <w:shd w:val="clear" w:color="auto" w:fill="auto"/>
          </w:tcPr>
          <w:p w:rsidR="00460FB4" w:rsidRDefault="00460FB4" w:rsidP="00C84730">
            <w:r>
              <w:t>16:20 – 16:30</w:t>
            </w:r>
          </w:p>
        </w:tc>
        <w:tc>
          <w:tcPr>
            <w:tcW w:w="7134" w:type="dxa"/>
            <w:shd w:val="clear" w:color="auto" w:fill="auto"/>
          </w:tcPr>
          <w:p w:rsidR="00460FB4" w:rsidRDefault="00460FB4" w:rsidP="00C84730">
            <w:pPr>
              <w:rPr>
                <w:b/>
                <w:bCs/>
              </w:rPr>
            </w:pPr>
            <w:r>
              <w:rPr>
                <w:b/>
                <w:bCs/>
              </w:rPr>
              <w:t xml:space="preserve">Session Six: </w:t>
            </w:r>
            <w:r w:rsidRPr="003B3021">
              <w:t>Wrap Up</w:t>
            </w:r>
          </w:p>
        </w:tc>
      </w:tr>
    </w:tbl>
    <w:p w:rsidR="00460FB4" w:rsidRDefault="00460FB4" w:rsidP="00460FB4"/>
    <w:p w:rsidR="00460FB4" w:rsidRPr="00737B01" w:rsidRDefault="00460FB4" w:rsidP="00460FB4">
      <w:pPr>
        <w:rPr>
          <w:i/>
          <w:iCs/>
        </w:rPr>
      </w:pPr>
      <w:r>
        <w:rPr>
          <w:i/>
          <w:iCs/>
        </w:rPr>
        <w:t>Day 3</w:t>
      </w:r>
      <w:r w:rsidRPr="00737B01">
        <w:rPr>
          <w:i/>
          <w:iCs/>
        </w:rPr>
        <w:t>: Wednesday 25</w:t>
      </w:r>
      <w:r w:rsidRPr="00737B01">
        <w:rPr>
          <w:i/>
          <w:iCs/>
          <w:vertAlign w:val="superscript"/>
        </w:rPr>
        <w:t>th</w:t>
      </w:r>
      <w:r w:rsidRPr="00737B01">
        <w:rPr>
          <w:i/>
          <w:iCs/>
        </w:rPr>
        <w:t xml:space="preserve"> of March, 2020</w:t>
      </w:r>
    </w:p>
    <w:p w:rsidR="00460FB4" w:rsidRPr="00737B01" w:rsidRDefault="00460FB4" w:rsidP="00460FB4">
      <w:pPr>
        <w:rPr>
          <w:i/>
          <w:iCs/>
        </w:rPr>
      </w:pPr>
      <w:r w:rsidRPr="00737B01">
        <w:rPr>
          <w:i/>
          <w:iCs/>
        </w:rPr>
        <w:t xml:space="preserve">Venue:   </w:t>
      </w:r>
      <w:proofErr w:type="spellStart"/>
      <w:r w:rsidRPr="00737B01">
        <w:rPr>
          <w:i/>
          <w:iCs/>
        </w:rPr>
        <w:t>Moataz</w:t>
      </w:r>
      <w:proofErr w:type="spellEnd"/>
      <w:r w:rsidRPr="00737B01">
        <w:rPr>
          <w:i/>
          <w:iCs/>
        </w:rPr>
        <w:t xml:space="preserve"> El </w:t>
      </w:r>
      <w:proofErr w:type="spellStart"/>
      <w:r w:rsidRPr="00737B01">
        <w:rPr>
          <w:i/>
          <w:iCs/>
        </w:rPr>
        <w:t>Alfi</w:t>
      </w:r>
      <w:proofErr w:type="spellEnd"/>
      <w:r w:rsidRPr="00737B01">
        <w:rPr>
          <w:i/>
          <w:iCs/>
        </w:rPr>
        <w:t>, AUC</w:t>
      </w:r>
    </w:p>
    <w:tbl>
      <w:tblPr>
        <w:tblStyle w:val="TableGrid"/>
        <w:tblW w:w="0" w:type="auto"/>
        <w:tblLook w:val="04A0" w:firstRow="1" w:lastRow="0" w:firstColumn="1" w:lastColumn="0" w:noHBand="0" w:noVBand="1"/>
      </w:tblPr>
      <w:tblGrid>
        <w:gridCol w:w="2216"/>
        <w:gridCol w:w="7134"/>
      </w:tblGrid>
      <w:tr w:rsidR="00460FB4" w:rsidRPr="00737B01" w:rsidTr="00C84730">
        <w:tc>
          <w:tcPr>
            <w:tcW w:w="2216" w:type="dxa"/>
            <w:shd w:val="clear" w:color="auto" w:fill="8DB3E2" w:themeFill="text2" w:themeFillTint="66"/>
          </w:tcPr>
          <w:p w:rsidR="00460FB4" w:rsidRPr="00737B01" w:rsidRDefault="00460FB4" w:rsidP="00C84730">
            <w:r w:rsidRPr="00737B01">
              <w:t>Time</w:t>
            </w:r>
          </w:p>
          <w:p w:rsidR="00460FB4" w:rsidRPr="00737B01" w:rsidRDefault="00460FB4" w:rsidP="00C84730"/>
        </w:tc>
        <w:tc>
          <w:tcPr>
            <w:tcW w:w="7134" w:type="dxa"/>
            <w:shd w:val="clear" w:color="auto" w:fill="8DB3E2" w:themeFill="text2" w:themeFillTint="66"/>
          </w:tcPr>
          <w:p w:rsidR="00460FB4" w:rsidRPr="00737B01" w:rsidRDefault="00460FB4" w:rsidP="00C84730">
            <w:r w:rsidRPr="00737B01">
              <w:t>Activity</w:t>
            </w:r>
          </w:p>
        </w:tc>
      </w:tr>
      <w:tr w:rsidR="00460FB4" w:rsidRPr="00737B01" w:rsidTr="00C84730">
        <w:tc>
          <w:tcPr>
            <w:tcW w:w="2216" w:type="dxa"/>
            <w:shd w:val="clear" w:color="auto" w:fill="auto"/>
          </w:tcPr>
          <w:p w:rsidR="00460FB4" w:rsidRPr="00737B01" w:rsidRDefault="00460FB4" w:rsidP="00C84730">
            <w:r>
              <w:t>12:00 – 14:00</w:t>
            </w:r>
          </w:p>
        </w:tc>
        <w:tc>
          <w:tcPr>
            <w:tcW w:w="7134" w:type="dxa"/>
            <w:shd w:val="clear" w:color="auto" w:fill="auto"/>
          </w:tcPr>
          <w:p w:rsidR="00460FB4" w:rsidRPr="00737B01" w:rsidRDefault="00460FB4" w:rsidP="00C84730">
            <w:r w:rsidRPr="00737B01">
              <w:rPr>
                <w:b/>
                <w:bCs/>
              </w:rPr>
              <w:t>Session One:</w:t>
            </w:r>
            <w:r w:rsidRPr="00737B01">
              <w:t xml:space="preserve"> </w:t>
            </w:r>
            <w:r>
              <w:t>Policy Dialogue and Way Forward</w:t>
            </w:r>
          </w:p>
        </w:tc>
      </w:tr>
      <w:tr w:rsidR="00460FB4" w:rsidRPr="006D36BB" w:rsidTr="00C84730">
        <w:trPr>
          <w:trHeight w:val="311"/>
        </w:trPr>
        <w:tc>
          <w:tcPr>
            <w:tcW w:w="2216" w:type="dxa"/>
            <w:shd w:val="clear" w:color="auto" w:fill="BFBFBF" w:themeFill="background1" w:themeFillShade="BF"/>
          </w:tcPr>
          <w:p w:rsidR="00460FB4" w:rsidRPr="006D36BB" w:rsidRDefault="00460FB4" w:rsidP="00C84730">
            <w:r>
              <w:t xml:space="preserve">14:00 - 15:00 </w:t>
            </w:r>
          </w:p>
        </w:tc>
        <w:tc>
          <w:tcPr>
            <w:tcW w:w="7134" w:type="dxa"/>
            <w:shd w:val="clear" w:color="auto" w:fill="BFBFBF" w:themeFill="background1" w:themeFillShade="BF"/>
          </w:tcPr>
          <w:p w:rsidR="00460FB4" w:rsidRPr="006D36BB" w:rsidRDefault="00460FB4" w:rsidP="00C84730">
            <w:pPr>
              <w:rPr>
                <w:rFonts w:eastAsia="Times New Roman" w:cs="Times New Roman"/>
              </w:rPr>
            </w:pPr>
            <w:r>
              <w:rPr>
                <w:rFonts w:eastAsia="Times New Roman" w:cs="Times New Roman"/>
              </w:rPr>
              <w:t xml:space="preserve">Lunch </w:t>
            </w:r>
          </w:p>
        </w:tc>
      </w:tr>
    </w:tbl>
    <w:p w:rsidR="00460FB4" w:rsidRDefault="00460FB4" w:rsidP="00460FB4"/>
    <w:p w:rsidR="00EC01EF" w:rsidRPr="008E5A5B" w:rsidRDefault="00EC01EF" w:rsidP="008E5A5B"/>
    <w:p w:rsidR="008E5A5B" w:rsidRDefault="008E5A5B" w:rsidP="008E5A5B"/>
    <w:p w:rsidR="00FF68FF" w:rsidRPr="00FF68FF" w:rsidRDefault="00FF68FF" w:rsidP="00FF68FF"/>
    <w:p w:rsidR="00FF68FF" w:rsidRPr="00FF68FF" w:rsidRDefault="00FF68FF" w:rsidP="00FF68FF"/>
    <w:p w:rsidR="00FF68FF" w:rsidRDefault="00FF68FF" w:rsidP="00FF68FF"/>
    <w:p w:rsidR="00892AD8" w:rsidRDefault="00892AD8" w:rsidP="00892AD8"/>
    <w:p w:rsidR="00780C26" w:rsidRPr="00FF2644" w:rsidRDefault="00892AD8" w:rsidP="00780C26">
      <w:r>
        <w:t xml:space="preserve"> </w:t>
      </w:r>
    </w:p>
    <w:p w:rsidR="00780C26" w:rsidRDefault="00780C26" w:rsidP="00780C26">
      <w:pPr>
        <w:jc w:val="center"/>
        <w:rPr>
          <w:i/>
          <w:iCs/>
        </w:rPr>
      </w:pPr>
    </w:p>
    <w:p w:rsidR="00780C26" w:rsidRPr="00780C26" w:rsidRDefault="00780C26" w:rsidP="00780C26">
      <w:pPr>
        <w:jc w:val="center"/>
        <w:rPr>
          <w:i/>
          <w:iCs/>
        </w:rPr>
      </w:pPr>
    </w:p>
    <w:sectPr w:rsidR="00780C26" w:rsidRPr="00780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D14EA"/>
    <w:multiLevelType w:val="hybridMultilevel"/>
    <w:tmpl w:val="3194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2D6150"/>
    <w:multiLevelType w:val="hybridMultilevel"/>
    <w:tmpl w:val="FB8E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C26"/>
    <w:rsid w:val="000D609B"/>
    <w:rsid w:val="00460FB4"/>
    <w:rsid w:val="00681782"/>
    <w:rsid w:val="00780C26"/>
    <w:rsid w:val="0085033C"/>
    <w:rsid w:val="00892AD8"/>
    <w:rsid w:val="008E5A5B"/>
    <w:rsid w:val="00A11D99"/>
    <w:rsid w:val="00EC01EF"/>
    <w:rsid w:val="00FF2644"/>
    <w:rsid w:val="00FF68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AD8"/>
    <w:pPr>
      <w:ind w:left="720"/>
      <w:contextualSpacing/>
    </w:pPr>
  </w:style>
  <w:style w:type="table" w:styleId="TableGrid">
    <w:name w:val="Table Grid"/>
    <w:basedOn w:val="TableNormal"/>
    <w:uiPriority w:val="59"/>
    <w:rsid w:val="00460F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1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AD8"/>
    <w:pPr>
      <w:ind w:left="720"/>
      <w:contextualSpacing/>
    </w:pPr>
  </w:style>
  <w:style w:type="table" w:styleId="TableGrid">
    <w:name w:val="Table Grid"/>
    <w:basedOn w:val="TableNormal"/>
    <w:uiPriority w:val="59"/>
    <w:rsid w:val="00460F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1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dc:creator>
  <cp:lastModifiedBy>Malak</cp:lastModifiedBy>
  <cp:revision>2</cp:revision>
  <dcterms:created xsi:type="dcterms:W3CDTF">2020-01-19T13:56:00Z</dcterms:created>
  <dcterms:modified xsi:type="dcterms:W3CDTF">2020-01-19T13:56:00Z</dcterms:modified>
</cp:coreProperties>
</file>