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C7" w:rsidRDefault="0012798F" w:rsidP="0012798F">
      <w:pPr>
        <w:spacing w:line="276" w:lineRule="auto"/>
        <w:jc w:val="center"/>
        <w:rPr>
          <w:rFonts w:asciiTheme="majorBidi" w:hAnsiTheme="majorBidi" w:cstheme="majorBidi"/>
        </w:rPr>
      </w:pPr>
      <w:r w:rsidRPr="001F4AC7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0F50D9F4" wp14:editId="2BC619F1">
            <wp:extent cx="1295400" cy="990600"/>
            <wp:effectExtent l="0" t="0" r="0" b="0"/>
            <wp:docPr id="2" name="Picture 6" descr="C:\Users\Lujain Ramadan\Downloads\SUP4PCL V3 Bl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Lujain Ramadan\Downloads\SUP4PCL V3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C7" w:rsidRPr="00CF07BA" w:rsidRDefault="001F4AC7" w:rsidP="00CF07BA">
      <w:pPr>
        <w:spacing w:line="276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</w:rPr>
      </w:pPr>
      <w:r w:rsidRPr="00CF07BA">
        <w:rPr>
          <w:rFonts w:asciiTheme="majorBidi" w:hAnsiTheme="majorBidi" w:cstheme="majorBidi"/>
          <w:b/>
          <w:bCs/>
          <w:color w:val="1F4E79" w:themeColor="accent1" w:themeShade="80"/>
        </w:rPr>
        <w:t>School University Partnership for Peer Communities of Learners SUP4PCL</w:t>
      </w:r>
    </w:p>
    <w:p w:rsidR="001F4AC7" w:rsidRPr="00CF07BA" w:rsidRDefault="001F4AC7" w:rsidP="00CF07BA">
      <w:pPr>
        <w:spacing w:line="276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</w:rPr>
      </w:pPr>
      <w:r w:rsidRPr="00CF07BA">
        <w:rPr>
          <w:rFonts w:asciiTheme="majorBidi" w:hAnsiTheme="majorBidi" w:cstheme="majorBidi"/>
          <w:b/>
          <w:bCs/>
          <w:color w:val="1F4E79" w:themeColor="accent1" w:themeShade="80"/>
        </w:rPr>
        <w:t>Project number: 573660-EPP-1-2016-EG-EPPKA2-CBHE-JP</w:t>
      </w:r>
    </w:p>
    <w:p w:rsidR="00CF07BA" w:rsidRDefault="00CF07BA" w:rsidP="00CF07BA">
      <w:p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="Simplified Arabic" w:hAnsi="Simplified Arabic" w:cs="Simplified Arabic"/>
          <w:b/>
          <w:bCs/>
          <w:noProof/>
          <w:color w:val="1F4E79" w:themeColor="accent1" w:themeShade="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7C5EB" wp14:editId="3E606DB0">
                <wp:simplePos x="0" y="0"/>
                <wp:positionH relativeFrom="margin">
                  <wp:posOffset>-371475</wp:posOffset>
                </wp:positionH>
                <wp:positionV relativeFrom="paragraph">
                  <wp:posOffset>82550</wp:posOffset>
                </wp:positionV>
                <wp:extent cx="6448425" cy="2819400"/>
                <wp:effectExtent l="76200" t="76200" r="104775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819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770BF" id="Rounded Rectangle 1" o:spid="_x0000_s1026" style="position:absolute;margin-left:-29.25pt;margin-top:6.5pt;width:507.75pt;height:22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AHsAIAAHQFAAAOAAAAZHJzL2Uyb0RvYy54bWysVNtOGzEQfa/Uf7D8XjZJNxAiNigQUVWi&#10;gICKZ8frvUi+1XayoV/fY+8mRLTqQ9U8bGY84zO3M7643ClJtsL51uiCjk9GlAjNTdnquqDfn28+&#10;zSjxgemSSaNFQV+Fp5eLjx8uOjsXE9MYWQpHAKL9vLMFbUKw8yzzvBGK+RNjhYaxMk6xANXVWelY&#10;B3Qls8lodJp1xpXWGS68x+mqN9JFwq8qwcN9VXkRiCwocgvp69J3Hb/Z4oLNa8ds0/IhDfYPWSjW&#10;agQ9QK1YYGTj2t+gVMud8aYKJ9yozFRVy0WqAdWMR++qeWqYFakWNMfbQ5v8/4Pld9sHR9oSs6NE&#10;M4URPZqNLkVJHtE8pmspyDi2qbN+Du8n++AGzUOMNe8qp+I/qiG71NrXQ2vFLhCOw9M8n+WTKSUc&#10;tslsfJ6PUvOzt+vW+fBFGEWiUFAX04g5pL6y7a0PiAv/vV8Mqc1NK2UaotSkQxWTMwATzsClSrIA&#10;UVlU53VNCZM1SMqDS5DeyLaM1yOQd/X6WjqyZSDK9Or8ajVNTnKjvplyOB7hF1uBJAb/Xj4Gitmt&#10;mG/6KylGTzLVBjBdtqqgswi0R5I6xheJq6gxKrU0HXEMaZ9+nsLxbwl6Fg4Jjs/gPXCaSduwPgm0&#10;+hDtOO8YJhVwFDyLY+4HG6W1KV/BD2cwELTVW37TosBb5sMDc9gUHGL7wz0+FeAKagaJksa4n386&#10;j/4gMKyUdNg8DOfHhjlBifyqQe3zcZ7HVU1KPj2bQHHHlvWxRW/UtcHMQF9kl8ToH+RerJxRL3gk&#10;ljEqTExzxO5pMCjXoX8R8MxwsVwmN6ynZeFWP1keweMI4mifdy/M2YGiAey+M/stZfN3JO19401t&#10;lptgqjYx+K2vaH5UsNppDMMzFN+OYz15vT2Wi18AAAD//wMAUEsDBBQABgAIAAAAIQBI1aWH3gAA&#10;AAoBAAAPAAAAZHJzL2Rvd25yZXYueG1sTI/NTsMwEITvSH0Haytxax1+QtM0TgVItBKiEgQewI2X&#10;JGCvo9htw9uzPcFtVjOa/aZYj86KIw6h86Tgap6AQKq96ahR8PH+NMtAhKjJaOsJFfxggHU5uSh0&#10;bvyJ3vBYxUZwCYVcK2hj7HMpQ92i02HueyT2Pv3gdORzaKQZ9InLnZXXSXInne6IP7S6x8cW6+/q&#10;4BRstnLxRc8V2deY0cPLZtdt7U6py+l4vwIRcYx/YTjjMzqUzLT3BzJBWAWzNEs5ysYNb+LAMl2w&#10;2Cu4PQtZFvL/hPIXAAD//wMAUEsBAi0AFAAGAAgAAAAhALaDOJL+AAAA4QEAABMAAAAAAAAAAAAA&#10;AAAAAAAAAFtDb250ZW50X1R5cGVzXS54bWxQSwECLQAUAAYACAAAACEAOP0h/9YAAACUAQAACwAA&#10;AAAAAAAAAAAAAAAvAQAAX3JlbHMvLnJlbHNQSwECLQAUAAYACAAAACEAjdcgB7ACAAB0BQAADgAA&#10;AAAAAAAAAAAAAAAuAgAAZHJzL2Uyb0RvYy54bWxQSwECLQAUAAYACAAAACEASNWlh94AAAAKAQAA&#10;DwAAAAAAAAAAAAAAAAAKBQAAZHJzL2Rvd25yZXYueG1sUEsFBgAAAAAEAAQA8wAAABUGAAAAAA==&#10;" filled="f" strokecolor="#1f4e79" strokeweight="1pt">
                <v:stroke joinstyle="miter"/>
                <w10:wrap anchorx="margin"/>
              </v:roundrect>
            </w:pict>
          </mc:Fallback>
        </mc:AlternateContent>
      </w:r>
    </w:p>
    <w:p w:rsidR="0094791E" w:rsidRPr="00CF07BA" w:rsidRDefault="00C8720E" w:rsidP="0012798F">
      <w:p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This project 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was awarded to The American University in Cairo and began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in 2</w:t>
      </w:r>
      <w:r w:rsidR="00FE3814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017 with the support of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</w:t>
      </w:r>
      <w:r w:rsidR="00FE3814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Erasmus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+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with our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partner</w:t>
      </w:r>
      <w:r w:rsidR="00FE3814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s: 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Ain Shams University, </w:t>
      </w:r>
      <w:proofErr w:type="spellStart"/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Helwan</w:t>
      </w:r>
      <w:proofErr w:type="spellEnd"/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University, Alexandria University, University of Limerick, Martin Luther University, University of Leicester and University of Northampton. The project began with a signed memorandum of understanding between The Ministry of Higher Education and Scientific Research and The Ministry of Education and Technical Education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as an initial step for policy dialogue, mainstreaming and sustainability.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The project aims at creating a strong partnership between 3 Egyptian facultie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s of education and 45 public schools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to support a dual reform process at both school and university levels.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T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he project has succeeded in establishing a number of innovative strategies to set the reform in motion and to create a profound educational and cultural transformation in each of the participating institutions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in preparation for taking it to larger scale.</w:t>
      </w:r>
    </w:p>
    <w:p w:rsidR="00CF07BA" w:rsidRDefault="00CF07BA" w:rsidP="00CF07BA">
      <w:pPr>
        <w:spacing w:line="276" w:lineRule="auto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</w:p>
    <w:p w:rsidR="00C8720E" w:rsidRPr="00CF07BA" w:rsidRDefault="00C8720E" w:rsidP="00CF07BA">
      <w:pPr>
        <w:spacing w:line="276" w:lineRule="auto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</w:pPr>
      <w:r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Innovative strategies: </w:t>
      </w:r>
    </w:p>
    <w:p w:rsidR="00C8720E" w:rsidRPr="00CF07BA" w:rsidRDefault="002442F7" w:rsidP="0012798F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Creati</w:t>
      </w:r>
      <w:r w:rsidR="00C8720E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n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g</w:t>
      </w:r>
      <w:r w:rsidR="00C8720E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more than 75 peer communities of learners at schools and universities </w:t>
      </w:r>
    </w:p>
    <w:p w:rsidR="00C8720E" w:rsidRPr="00CF07BA" w:rsidRDefault="00C8720E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Establishing a mentorship and coaching relationship between 59 university faculty and 162 school teachers </w:t>
      </w:r>
    </w:p>
    <w:p w:rsidR="00C8720E" w:rsidRPr="00CF07BA" w:rsidRDefault="00C8720E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Designing and </w:t>
      </w:r>
      <w:r w:rsidR="00CF07BA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producing joint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learning and teaching materials around STEM, S</w:t>
      </w:r>
      <w:r w:rsid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ustainable 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D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evelopment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and G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lobal 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C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itizenship</w:t>
      </w:r>
    </w:p>
    <w:p w:rsidR="00C8720E" w:rsidRPr="00CF07BA" w:rsidRDefault="00C8720E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Coaching teachers and faculty on introducing technology in teaching and learning </w:t>
      </w:r>
    </w:p>
    <w:p w:rsidR="002442F7" w:rsidRPr="00CF07BA" w:rsidRDefault="00C8720E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Universities coaching scho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ols on special needs education. </w:t>
      </w:r>
    </w:p>
    <w:p w:rsidR="001F4AC7" w:rsidRPr="00CF07BA" w:rsidRDefault="002442F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Faculty and teachers </w:t>
      </w:r>
      <w:r w:rsidR="00CF07BA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practicing activity</w:t>
      </w:r>
      <w:r w:rsidR="00C8720E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based learning, </w:t>
      </w:r>
    </w:p>
    <w:p w:rsidR="007268E2" w:rsidRPr="00CF07BA" w:rsidRDefault="001F4AC7" w:rsidP="00CF07BA">
      <w:pPr>
        <w:spacing w:line="276" w:lineRule="auto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>Cultural</w:t>
      </w:r>
      <w:r w:rsidR="00056FDC"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 xml:space="preserve"> transformation and behavior patterns </w:t>
      </w:r>
      <w:r w:rsidR="00056FDC" w:rsidRPr="00CF07BA">
        <w:rPr>
          <w:rFonts w:asciiTheme="majorBidi" w:hAnsiTheme="majorBidi" w:cstheme="majorBidi"/>
          <w:color w:val="1F4E79" w:themeColor="accent1" w:themeShade="80"/>
          <w:sz w:val="24"/>
          <w:szCs w:val="24"/>
          <w:lang w:val="en-US"/>
        </w:rPr>
        <w:t xml:space="preserve">both in MOE schools and FOEs and based on the validated instruments used are: 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Reflection now a habit of mind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Collaborative learning is in place.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Collaborative teaching emerging. 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Activity-based learning now pronounced. 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Student teachers emerging at the school level. 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Innovations promoted in teaching pedagogies.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E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mpowerment 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of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teachers and young faculty members. </w:t>
      </w:r>
    </w:p>
    <w:p w:rsidR="001F4AC7" w:rsidRPr="00CF07BA" w:rsidRDefault="002442F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lastRenderedPageBreak/>
        <w:t xml:space="preserve"> S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tudents evaluating their teachers.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 Appreciation of cultural exchanges between EU partners and Egyptian FOEs and schools. 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Cultural transformation from individualism to collaboration and a sense of community. </w:t>
      </w:r>
    </w:p>
    <w:p w:rsidR="00FE3814" w:rsidRPr="00CF07BA" w:rsidRDefault="001F4AC7" w:rsidP="00CF07BA">
      <w:pPr>
        <w:spacing w:line="276" w:lineRule="auto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>S</w:t>
      </w:r>
      <w:r w:rsidR="00FE3814"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>kills acquired</w:t>
      </w:r>
      <w:r w:rsidR="00FE3814" w:rsidRPr="00CF07BA">
        <w:rPr>
          <w:rFonts w:asciiTheme="majorBidi" w:hAnsiTheme="majorBidi" w:cstheme="majorBidi"/>
          <w:color w:val="1F4E79" w:themeColor="accent1" w:themeShade="80"/>
          <w:sz w:val="24"/>
          <w:szCs w:val="24"/>
          <w:lang w:val="en-US"/>
        </w:rPr>
        <w:t>:</w:t>
      </w:r>
    </w:p>
    <w:p w:rsidR="001F4AC7" w:rsidRPr="00CF07BA" w:rsidRDefault="00056FDC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 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Barriers to the use of technology gradually disappearing.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The use of English language strengthened (oral &amp; written).</w:t>
      </w:r>
    </w:p>
    <w:p w:rsidR="001F4AC7" w:rsidRPr="00CF07BA" w:rsidRDefault="001F4AC7" w:rsidP="00CF07BA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Research skills greatly developed for faculty, teachers and students</w:t>
      </w:r>
      <w:r w:rsidR="00056FDC" w:rsidRPr="00CF07BA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, which led to new innovative research courses at the universities</w:t>
      </w:r>
    </w:p>
    <w:p w:rsidR="00FE3814" w:rsidRPr="00CF07BA" w:rsidRDefault="001F4AC7" w:rsidP="00CF07BA">
      <w:pPr>
        <w:spacing w:line="276" w:lineRule="auto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>O</w:t>
      </w:r>
      <w:r w:rsidR="00FE3814"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>utcomes of learning</w:t>
      </w:r>
      <w:r w:rsidRPr="00CF07B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  <w:lang w:val="en-US"/>
        </w:rPr>
        <w:t xml:space="preserve"> and exchange</w:t>
      </w:r>
      <w:r w:rsidR="00FE3814" w:rsidRPr="00CF07BA">
        <w:rPr>
          <w:rFonts w:asciiTheme="majorBidi" w:hAnsiTheme="majorBidi" w:cstheme="majorBidi"/>
          <w:color w:val="1F4E79" w:themeColor="accent1" w:themeShade="80"/>
          <w:sz w:val="24"/>
          <w:szCs w:val="24"/>
          <w:lang w:val="en-US"/>
        </w:rPr>
        <w:t>:</w:t>
      </w:r>
    </w:p>
    <w:p w:rsidR="001F4AC7" w:rsidRPr="00CF07BA" w:rsidRDefault="001F4AC7" w:rsidP="0012798F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bookmarkStart w:id="0" w:name="_GoBack"/>
      <w:bookmarkEnd w:id="0"/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Student achievement improved in some schools as a result of 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the project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. </w:t>
      </w:r>
    </w:p>
    <w:p w:rsidR="001F4AC7" w:rsidRPr="00CF07BA" w:rsidRDefault="001F4AC7" w:rsidP="00CF07BA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School attendance markedly improved as a result of 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the project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.</w:t>
      </w:r>
    </w:p>
    <w:p w:rsidR="001F4AC7" w:rsidRPr="00CF07BA" w:rsidRDefault="001F4AC7" w:rsidP="00CF07BA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Views of faculty, families and students much more appreciative of the teaching profession. </w:t>
      </w:r>
    </w:p>
    <w:p w:rsidR="001F4AC7" w:rsidRPr="00CF07BA" w:rsidRDefault="001F4AC7" w:rsidP="00CF07BA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Teachers now seeking </w:t>
      </w:r>
      <w:r w:rsidR="002442F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continuous professional development 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through university (MA &amp; diplomas)</w:t>
      </w:r>
    </w:p>
    <w:p w:rsidR="001F4AC7" w:rsidRPr="00CF07BA" w:rsidRDefault="001F4AC7" w:rsidP="00CF07BA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Civic engagement of students greatly enhanced in some schools (special needs &amp; minorities) </w:t>
      </w:r>
    </w:p>
    <w:p w:rsidR="001F4AC7" w:rsidRPr="00CF07BA" w:rsidRDefault="002442F7" w:rsidP="00CF07BA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Four memorandums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 of understanding were signed between partner 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European and Egyptian </w:t>
      </w:r>
      <w:r w:rsidR="001F4AC7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universities which led to joint supervision post graduate studies and exchange programs</w:t>
      </w:r>
    </w:p>
    <w:p w:rsidR="001F4AC7" w:rsidRPr="00CF07BA" w:rsidRDefault="001F4AC7" w:rsidP="00CF07BA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Three technology labs for the PCLs </w:t>
      </w:r>
      <w:r w:rsidR="00056FDC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with the schools </w:t>
      </w:r>
      <w:r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 xml:space="preserve">were established at each of the </w:t>
      </w:r>
      <w:r w:rsidR="00056FDC" w:rsidRPr="00CF07BA"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  <w:t>Egyptian universities</w:t>
      </w:r>
    </w:p>
    <w:p w:rsidR="00434A32" w:rsidRPr="00CF07BA" w:rsidRDefault="00434A32" w:rsidP="00CF07BA">
      <w:pPr>
        <w:bidi/>
        <w:spacing w:line="276" w:lineRule="auto"/>
        <w:rPr>
          <w:rFonts w:asciiTheme="majorBidi" w:hAnsiTheme="majorBidi" w:cstheme="majorBidi"/>
          <w:color w:val="2E74B5" w:themeColor="accent1" w:themeShade="BF"/>
          <w:sz w:val="24"/>
          <w:szCs w:val="24"/>
          <w:lang w:val="en-US"/>
        </w:rPr>
      </w:pPr>
    </w:p>
    <w:sectPr w:rsidR="00434A32" w:rsidRPr="00CF0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8.1pt;height:57.05pt;visibility:visible;mso-wrap-style:square" o:bullet="t">
        <v:imagedata r:id="rId1" o:title="SUP4PCL V3 Blue"/>
      </v:shape>
    </w:pict>
  </w:numPicBullet>
  <w:abstractNum w:abstractNumId="0" w15:restartNumberingAfterBreak="0">
    <w:nsid w:val="06307C77"/>
    <w:multiLevelType w:val="hybridMultilevel"/>
    <w:tmpl w:val="61E62EE6"/>
    <w:lvl w:ilvl="0" w:tplc="5686D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6D6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052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80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C6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28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6D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8AB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CA3"/>
    <w:multiLevelType w:val="hybridMultilevel"/>
    <w:tmpl w:val="28AC9568"/>
    <w:lvl w:ilvl="0" w:tplc="C2527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2B4B"/>
    <w:multiLevelType w:val="hybridMultilevel"/>
    <w:tmpl w:val="3120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859E2"/>
    <w:multiLevelType w:val="hybridMultilevel"/>
    <w:tmpl w:val="F1CEFD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5972B5"/>
    <w:multiLevelType w:val="hybridMultilevel"/>
    <w:tmpl w:val="B058AD54"/>
    <w:lvl w:ilvl="0" w:tplc="65366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22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E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4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02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C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6C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48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FC1AAB"/>
    <w:multiLevelType w:val="hybridMultilevel"/>
    <w:tmpl w:val="B02AC4CC"/>
    <w:lvl w:ilvl="0" w:tplc="5686D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8B26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6D6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052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80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C6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28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6D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8AB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A01D9"/>
    <w:multiLevelType w:val="hybridMultilevel"/>
    <w:tmpl w:val="370078EA"/>
    <w:lvl w:ilvl="0" w:tplc="2D70AB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4D22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4B4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C35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4F6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21E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81A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668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048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423BB"/>
    <w:multiLevelType w:val="hybridMultilevel"/>
    <w:tmpl w:val="0C5A20A2"/>
    <w:lvl w:ilvl="0" w:tplc="65366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6387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22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E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4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02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C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6C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48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305515"/>
    <w:multiLevelType w:val="hybridMultilevel"/>
    <w:tmpl w:val="BB92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0054"/>
    <w:multiLevelType w:val="hybridMultilevel"/>
    <w:tmpl w:val="A81A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54837"/>
    <w:multiLevelType w:val="hybridMultilevel"/>
    <w:tmpl w:val="5BFE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05636"/>
    <w:multiLevelType w:val="hybridMultilevel"/>
    <w:tmpl w:val="3FB0D180"/>
    <w:lvl w:ilvl="0" w:tplc="B12093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220DD"/>
    <w:multiLevelType w:val="hybridMultilevel"/>
    <w:tmpl w:val="A7C842AA"/>
    <w:lvl w:ilvl="0" w:tplc="F4CAA6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48D94">
      <w:numFmt w:val="bullet"/>
      <w:lvlText w:val="•"/>
      <w:lvlJc w:val="left"/>
      <w:pPr>
        <w:ind w:left="7080" w:hanging="5280"/>
      </w:pPr>
      <w:rPr>
        <w:rFonts w:ascii="Times New Roman" w:eastAsiaTheme="minorHAns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B64DC"/>
    <w:multiLevelType w:val="hybridMultilevel"/>
    <w:tmpl w:val="2760F374"/>
    <w:lvl w:ilvl="0" w:tplc="31D2A2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EF6E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877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AE1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819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A04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C7E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04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648D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0E"/>
    <w:rsid w:val="00056FDC"/>
    <w:rsid w:val="000F0118"/>
    <w:rsid w:val="0012798F"/>
    <w:rsid w:val="001F4AC7"/>
    <w:rsid w:val="002442F7"/>
    <w:rsid w:val="002649BF"/>
    <w:rsid w:val="003279C5"/>
    <w:rsid w:val="00434A32"/>
    <w:rsid w:val="004920FA"/>
    <w:rsid w:val="005A08C4"/>
    <w:rsid w:val="007268E2"/>
    <w:rsid w:val="0094791E"/>
    <w:rsid w:val="00C8720E"/>
    <w:rsid w:val="00CF07BA"/>
    <w:rsid w:val="00D8394C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82B3"/>
  <w15:docId w15:val="{2196D0C8-C3CD-47F4-A87D-B18C7B24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0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7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MEIHE</cp:lastModifiedBy>
  <cp:revision>3</cp:revision>
  <cp:lastPrinted>2019-11-06T11:35:00Z</cp:lastPrinted>
  <dcterms:created xsi:type="dcterms:W3CDTF">2019-11-06T11:33:00Z</dcterms:created>
  <dcterms:modified xsi:type="dcterms:W3CDTF">2019-11-06T12:40:00Z</dcterms:modified>
</cp:coreProperties>
</file>