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8E" w:rsidRDefault="00F5768E" w:rsidP="00F5768E">
      <w:pPr>
        <w:rPr>
          <w:rFonts w:asciiTheme="majorBidi" w:hAnsiTheme="majorBidi" w:cstheme="majorBidi"/>
          <w:noProof/>
          <w:lang w:eastAsia="en-GB"/>
        </w:rPr>
      </w:pPr>
      <w:r w:rsidRPr="000A4B46">
        <w:rPr>
          <w:rFonts w:asciiTheme="majorBidi" w:hAnsiTheme="majorBidi" w:cstheme="majorBidi"/>
        </w:rPr>
        <w:drawing>
          <wp:inline distT="0" distB="0" distL="0" distR="0" wp14:anchorId="7D49F69C" wp14:editId="1986AA7F">
            <wp:extent cx="2895600" cy="6858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5"/>
                    <a:stretch>
                      <a:fillRect/>
                    </a:stretch>
                  </pic:blipFill>
                  <pic:spPr>
                    <a:xfrm>
                      <a:off x="0" y="0"/>
                      <a:ext cx="2895600" cy="685800"/>
                    </a:xfrm>
                    <a:prstGeom prst="rect">
                      <a:avLst/>
                    </a:prstGeom>
                  </pic:spPr>
                </pic:pic>
              </a:graphicData>
            </a:graphic>
          </wp:inline>
        </w:drawing>
      </w:r>
      <w:r>
        <w:rPr>
          <w:rFonts w:asciiTheme="majorBidi" w:hAnsiTheme="majorBidi" w:cstheme="majorBidi"/>
          <w:noProof/>
          <w:lang w:eastAsia="en-GB"/>
        </w:rPr>
        <w:t xml:space="preserve">                                   </w:t>
      </w:r>
      <w:r w:rsidRPr="001F4AC7">
        <w:rPr>
          <w:rFonts w:asciiTheme="majorBidi" w:hAnsiTheme="majorBidi" w:cstheme="majorBidi"/>
          <w:noProof/>
          <w:lang w:eastAsia="en-GB"/>
        </w:rPr>
        <w:drawing>
          <wp:inline distT="0" distB="0" distL="0" distR="0" wp14:anchorId="5E478C4C" wp14:editId="79DE285B">
            <wp:extent cx="1295400" cy="990600"/>
            <wp:effectExtent l="0" t="0" r="0" b="0"/>
            <wp:docPr id="2" name="Picture 6" descr="C:\Users\Lujain Ramadan\Downloads\SUP4PCL V3 Blue.png"/>
            <wp:cNvGraphicFramePr/>
            <a:graphic xmlns:a="http://schemas.openxmlformats.org/drawingml/2006/main">
              <a:graphicData uri="http://schemas.openxmlformats.org/drawingml/2006/picture">
                <pic:pic xmlns:pic="http://schemas.openxmlformats.org/drawingml/2006/picture">
                  <pic:nvPicPr>
                    <pic:cNvPr id="7" name="Picture 6" descr="C:\Users\Lujain Ramadan\Downloads\SUP4PCL V3 Blue.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inline>
        </w:drawing>
      </w:r>
      <w:r>
        <w:rPr>
          <w:rFonts w:asciiTheme="majorBidi" w:hAnsiTheme="majorBidi" w:cstheme="majorBidi"/>
          <w:noProof/>
          <w:lang w:eastAsia="en-GB"/>
        </w:rPr>
        <w:t xml:space="preserve">                                         </w:t>
      </w:r>
    </w:p>
    <w:p w:rsidR="00F5768E" w:rsidRDefault="00F5768E" w:rsidP="00F5768E">
      <w:pPr>
        <w:rPr>
          <w:rFonts w:asciiTheme="majorBidi" w:hAnsiTheme="majorBidi" w:cstheme="majorBidi"/>
        </w:rPr>
      </w:pPr>
    </w:p>
    <w:p w:rsidR="00F5768E" w:rsidRPr="000A4B46" w:rsidRDefault="00F5768E" w:rsidP="00F5768E">
      <w:pPr>
        <w:rPr>
          <w:rFonts w:asciiTheme="majorBidi" w:hAnsiTheme="majorBidi" w:cstheme="majorBidi"/>
        </w:rPr>
      </w:pPr>
      <w:r>
        <w:rPr>
          <w:rFonts w:asciiTheme="majorBidi" w:hAnsiTheme="majorBidi" w:cstheme="majorBidi"/>
        </w:rPr>
        <w:t xml:space="preserve">Disclaimer: </w:t>
      </w:r>
      <w:r w:rsidRPr="000A4B46">
        <w:rPr>
          <w:rFonts w:asciiTheme="majorBidi" w:hAnsiTheme="majorBidi" w:cstheme="majorBidi"/>
          <w:i/>
          <w:iCs/>
          <w:lang w:val="en-US"/>
        </w:rPr>
        <w:t>"This project has been funded with support from the European Commission. This presentation reflects the views only of the author, and the Commission cannot be held responsible for any use which may be made of the information contained therein</w:t>
      </w:r>
    </w:p>
    <w:p w:rsidR="0055387D" w:rsidRPr="0055387D" w:rsidRDefault="0055387D" w:rsidP="0055387D">
      <w:pPr>
        <w:spacing w:line="276" w:lineRule="auto"/>
        <w:jc w:val="center"/>
        <w:rPr>
          <w:rFonts w:ascii="Simplified Arabic" w:hAnsi="Simplified Arabic" w:cs="Simplified Arabic"/>
          <w:b/>
          <w:bCs/>
          <w:color w:val="2E74B5" w:themeColor="accent1" w:themeShade="BF"/>
          <w:sz w:val="24"/>
          <w:szCs w:val="24"/>
        </w:rPr>
      </w:pPr>
      <w:bookmarkStart w:id="0" w:name="_GoBack"/>
      <w:bookmarkEnd w:id="0"/>
    </w:p>
    <w:p w:rsidR="0055387D" w:rsidRPr="0055387D" w:rsidRDefault="0055387D" w:rsidP="0055387D">
      <w:pPr>
        <w:spacing w:line="276" w:lineRule="auto"/>
        <w:jc w:val="center"/>
        <w:rPr>
          <w:rFonts w:asciiTheme="majorBidi" w:hAnsiTheme="majorBidi" w:cstheme="majorBidi"/>
          <w:b/>
          <w:bCs/>
          <w:color w:val="1F4E79" w:themeColor="accent1" w:themeShade="80"/>
          <w:sz w:val="24"/>
          <w:szCs w:val="24"/>
        </w:rPr>
      </w:pPr>
      <w:r w:rsidRPr="0055387D">
        <w:rPr>
          <w:rFonts w:asciiTheme="majorBidi" w:hAnsiTheme="majorBidi" w:cstheme="majorBidi"/>
          <w:b/>
          <w:bCs/>
          <w:color w:val="1F4E79" w:themeColor="accent1" w:themeShade="80"/>
          <w:sz w:val="24"/>
          <w:szCs w:val="24"/>
        </w:rPr>
        <w:t>School University Partnership for Peer Communities of Learners SUP4PCL</w:t>
      </w:r>
    </w:p>
    <w:p w:rsidR="0055387D" w:rsidRPr="0055387D" w:rsidRDefault="0055387D" w:rsidP="0055387D">
      <w:pPr>
        <w:spacing w:line="276" w:lineRule="auto"/>
        <w:jc w:val="center"/>
        <w:rPr>
          <w:rFonts w:asciiTheme="majorBidi" w:hAnsiTheme="majorBidi" w:cstheme="majorBidi"/>
          <w:b/>
          <w:bCs/>
          <w:color w:val="1F4E79" w:themeColor="accent1" w:themeShade="80"/>
          <w:sz w:val="24"/>
          <w:szCs w:val="24"/>
        </w:rPr>
      </w:pPr>
      <w:r w:rsidRPr="0055387D">
        <w:rPr>
          <w:rFonts w:asciiTheme="majorBidi" w:hAnsiTheme="majorBidi" w:cstheme="majorBidi"/>
          <w:b/>
          <w:bCs/>
          <w:color w:val="1F4E79" w:themeColor="accent1" w:themeShade="80"/>
          <w:sz w:val="24"/>
          <w:szCs w:val="24"/>
        </w:rPr>
        <w:t>Project number: 573660-EPP-1-2016-EG-EPPKA2-CBHE-JP</w:t>
      </w:r>
    </w:p>
    <w:p w:rsidR="0055387D" w:rsidRPr="0055387D" w:rsidRDefault="0055387D" w:rsidP="0055387D">
      <w:pPr>
        <w:spacing w:line="276" w:lineRule="auto"/>
        <w:rPr>
          <w:rFonts w:ascii="Simplified Arabic" w:hAnsi="Simplified Arabic" w:cs="Simplified Arabic"/>
          <w:b/>
          <w:bCs/>
          <w:color w:val="2E74B5" w:themeColor="accent1" w:themeShade="BF"/>
          <w:sz w:val="24"/>
          <w:szCs w:val="24"/>
          <w:lang w:val="en-US"/>
        </w:rPr>
      </w:pPr>
      <w:r>
        <w:rPr>
          <w:rFonts w:ascii="Simplified Arabic" w:hAnsi="Simplified Arabic" w:cs="Simplified Arabic"/>
          <w:b/>
          <w:bCs/>
          <w:noProof/>
          <w:color w:val="5B9BD5" w:themeColor="accent1"/>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82550</wp:posOffset>
                </wp:positionV>
                <wp:extent cx="6448425" cy="2733675"/>
                <wp:effectExtent l="76200" t="76200" r="104775" b="104775"/>
                <wp:wrapNone/>
                <wp:docPr id="1" name="Rounded Rectangle 1"/>
                <wp:cNvGraphicFramePr/>
                <a:graphic xmlns:a="http://schemas.openxmlformats.org/drawingml/2006/main">
                  <a:graphicData uri="http://schemas.microsoft.com/office/word/2010/wordprocessingShape">
                    <wps:wsp>
                      <wps:cNvSpPr/>
                      <wps:spPr>
                        <a:xfrm>
                          <a:off x="0" y="0"/>
                          <a:ext cx="6448425" cy="2733675"/>
                        </a:xfrm>
                        <a:prstGeom prst="roundRect">
                          <a:avLst/>
                        </a:prstGeom>
                        <a:noFill/>
                        <a:ln>
                          <a:solidFill>
                            <a:schemeClr val="accent1">
                              <a:lumMod val="50000"/>
                            </a:schemeClr>
                          </a:solidFill>
                        </a:ln>
                        <a:effectLst>
                          <a:glow rad="63500">
                            <a:schemeClr val="accent1">
                              <a:satMod val="175000"/>
                              <a:alpha val="40000"/>
                            </a:schemeClr>
                          </a:glow>
                        </a:effectLst>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42378A" id="Rounded Rectangle 1" o:spid="_x0000_s1026" style="position:absolute;margin-left:-13.5pt;margin-top:6.5pt;width:507.75pt;height:2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" filled="f" strokecolor="#1f4d78 [1604]" strokeweight="1pt">
                <v:stroke joinstyle="miter"/>
              </v:roundrect>
            </w:pict>
          </mc:Fallback>
        </mc:AlternateContent>
      </w:r>
    </w:p>
    <w:p w:rsidR="0055387D" w:rsidRDefault="0055387D" w:rsidP="0055387D">
      <w:pPr>
        <w:bidi/>
        <w:spacing w:line="276" w:lineRule="auto"/>
        <w:rPr>
          <w:rFonts w:ascii="Simplified Arabic" w:hAnsi="Simplified Arabic" w:cs="Simplified Arabic"/>
          <w:b/>
          <w:bCs/>
          <w:color w:val="2E74B5" w:themeColor="accent1" w:themeShade="BF"/>
          <w:sz w:val="24"/>
          <w:szCs w:val="24"/>
          <w:lang w:val="en-US"/>
        </w:rPr>
      </w:pPr>
      <w:r w:rsidRPr="0055387D">
        <w:rPr>
          <w:rFonts w:ascii="Simplified Arabic" w:hAnsi="Simplified Arabic" w:cs="Simplified Arabic"/>
          <w:b/>
          <w:bCs/>
          <w:color w:val="2E74B5" w:themeColor="accent1" w:themeShade="BF"/>
          <w:sz w:val="24"/>
          <w:szCs w:val="24"/>
          <w:rtl/>
          <w:lang w:val="en-US"/>
        </w:rPr>
        <w:t xml:space="preserve">تم منح هذا المشروع للجامعة الأمريكية في القاهرة وبدأ في عام 2017 بدعم من </w:t>
      </w:r>
      <w:r w:rsidRPr="0055387D">
        <w:rPr>
          <w:rFonts w:ascii="Simplified Arabic" w:hAnsi="Simplified Arabic" w:cs="Simplified Arabic"/>
          <w:b/>
          <w:bCs/>
          <w:color w:val="2E74B5" w:themeColor="accent1" w:themeShade="BF"/>
          <w:sz w:val="24"/>
          <w:szCs w:val="24"/>
          <w:lang w:val="en-US"/>
        </w:rPr>
        <w:t>ERASMUS+</w:t>
      </w:r>
      <w:r w:rsidRPr="0055387D">
        <w:rPr>
          <w:rFonts w:ascii="Simplified Arabic" w:hAnsi="Simplified Arabic" w:cs="Simplified Arabic"/>
          <w:b/>
          <w:bCs/>
          <w:color w:val="2E74B5" w:themeColor="accent1" w:themeShade="BF"/>
          <w:sz w:val="24"/>
          <w:szCs w:val="24"/>
          <w:rtl/>
          <w:lang w:val="en-US" w:bidi="ar-EG"/>
        </w:rPr>
        <w:t xml:space="preserve"> </w:t>
      </w:r>
      <w:r w:rsidRPr="0055387D">
        <w:rPr>
          <w:rFonts w:ascii="Simplified Arabic" w:hAnsi="Simplified Arabic" w:cs="Simplified Arabic"/>
          <w:b/>
          <w:bCs/>
          <w:color w:val="2E74B5" w:themeColor="accent1" w:themeShade="BF"/>
          <w:sz w:val="24"/>
          <w:szCs w:val="24"/>
          <w:rtl/>
          <w:lang w:val="en-US"/>
        </w:rPr>
        <w:t>بالإضافة إلى شركائنا: جامعة عين شمس ، جامعة حلوان ، جامعة الإسكندرية ، جامعة ليمريك ، جامعة مارتن لوثر ، جامعة ليستر وجامعة نورثهامبتون. بدأ المشروع بمذكرة تفاهم موقعة بين وزارة التعليم العالي والبحث العلمي ووزارة التربية والتعليم والتعليم الفني كخطوة أولية للحوار بشأن السياسات و التوجيه والاستدامة. يهدف المشروع إلى خلق شراكة قوية بين ثلاث كليات تعليمية مصرية و 45 مدرسة حكومية لدعم عملية الإصلاح المزدوج على مستوى المدارس والجامعات. نجح المشروع في وضع عدد من الاستراتيجيات المبتكرة لوضع الإصلاح موضع التنفيذ وخلق تحول تعليمي وثقافي عميق في كل مؤسسة من المؤسسات المشاركة استعدادًا لأخذه على نطاق أوسع</w:t>
      </w:r>
    </w:p>
    <w:p w:rsidR="0055387D" w:rsidRPr="0055387D" w:rsidRDefault="0055387D" w:rsidP="0055387D">
      <w:p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spacing w:line="276" w:lineRule="auto"/>
        <w:jc w:val="right"/>
        <w:rPr>
          <w:rFonts w:ascii="Simplified Arabic" w:hAnsi="Simplified Arabic" w:cs="Simplified Arabic"/>
          <w:b/>
          <w:bCs/>
          <w:color w:val="1F4E79" w:themeColor="accent1" w:themeShade="80"/>
          <w:sz w:val="24"/>
          <w:szCs w:val="24"/>
          <w:u w:val="single"/>
          <w:rtl/>
          <w:lang w:val="en-US"/>
        </w:rPr>
      </w:pPr>
      <w:r w:rsidRPr="0055387D">
        <w:rPr>
          <w:rFonts w:ascii="Simplified Arabic" w:hAnsi="Simplified Arabic" w:cs="Simplified Arabic"/>
          <w:b/>
          <w:bCs/>
          <w:color w:val="1F4E79" w:themeColor="accent1" w:themeShade="80"/>
          <w:sz w:val="24"/>
          <w:szCs w:val="24"/>
          <w:u w:val="single"/>
          <w:rtl/>
          <w:lang w:val="en-US"/>
        </w:rPr>
        <w:t>استراتيجيات مبتكرة:</w:t>
      </w:r>
    </w:p>
    <w:p w:rsidR="0055387D" w:rsidRPr="0055387D" w:rsidRDefault="0055387D" w:rsidP="004A00FF">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إنشاء أكثر من 75 من مجتمعات الأقران من المتعلمين في المدارس والجامعات.</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إقامة علاقة إرشادية وتوجيهية بين 59 من أعضاء هيئة التدريس بالجامعة و 162 من مدرسي المدارس.</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تصميم وإنتاج مواد تعليمية وتدريبية مشتركة حول العلوم والتكنولوجيا والهندسة والرياضيات والتنمية المستدامة والمواطنة العالمية.</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تدريب المعلمين وأعضاء هيئة التدريس على إدخال التكنولوجيا في التعليم والتعلم.</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تدر</w:t>
      </w:r>
      <w:r w:rsidR="0011005A">
        <w:rPr>
          <w:rFonts w:ascii="Simplified Arabic" w:hAnsi="Simplified Arabic" w:cs="Simplified Arabic" w:hint="cs"/>
          <w:b/>
          <w:bCs/>
          <w:color w:val="2E74B5" w:themeColor="accent1" w:themeShade="BF"/>
          <w:sz w:val="24"/>
          <w:szCs w:val="24"/>
          <w:rtl/>
          <w:lang w:val="en-US"/>
        </w:rPr>
        <w:t>ي</w:t>
      </w:r>
      <w:r w:rsidR="0011005A">
        <w:rPr>
          <w:rFonts w:ascii="Simplified Arabic" w:hAnsi="Simplified Arabic" w:cs="Simplified Arabic"/>
          <w:b/>
          <w:bCs/>
          <w:color w:val="2E74B5" w:themeColor="accent1" w:themeShade="BF"/>
          <w:sz w:val="24"/>
          <w:szCs w:val="24"/>
          <w:rtl/>
          <w:lang w:val="en-US"/>
        </w:rPr>
        <w:t>ب ال</w:t>
      </w:r>
      <w:r w:rsidRPr="0055387D">
        <w:rPr>
          <w:rFonts w:ascii="Simplified Arabic" w:hAnsi="Simplified Arabic" w:cs="Simplified Arabic"/>
          <w:b/>
          <w:bCs/>
          <w:color w:val="2E74B5" w:themeColor="accent1" w:themeShade="BF"/>
          <w:sz w:val="24"/>
          <w:szCs w:val="24"/>
          <w:rtl/>
          <w:lang w:val="en-US"/>
        </w:rPr>
        <w:t>مدارس على تعليم ذوي الاحتياجات الخاصة</w:t>
      </w:r>
      <w:r w:rsidR="0011005A">
        <w:rPr>
          <w:rFonts w:ascii="Simplified Arabic" w:hAnsi="Simplified Arabic" w:cs="Simplified Arabic" w:hint="cs"/>
          <w:b/>
          <w:bCs/>
          <w:color w:val="2E74B5" w:themeColor="accent1" w:themeShade="BF"/>
          <w:sz w:val="24"/>
          <w:szCs w:val="24"/>
          <w:rtl/>
          <w:lang w:val="en-US"/>
        </w:rPr>
        <w:t xml:space="preserve"> من قبل أعضاء هيئة التدريس بالجامعة.</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lang w:val="en-US"/>
        </w:rPr>
      </w:pPr>
      <w:r w:rsidRPr="0055387D">
        <w:rPr>
          <w:rFonts w:ascii="Simplified Arabic" w:hAnsi="Simplified Arabic" w:cs="Simplified Arabic"/>
          <w:b/>
          <w:bCs/>
          <w:color w:val="2E74B5" w:themeColor="accent1" w:themeShade="BF"/>
          <w:sz w:val="24"/>
          <w:szCs w:val="24"/>
          <w:rtl/>
          <w:lang w:val="en-US"/>
        </w:rPr>
        <w:t>يمارس أعضاء هيئة التدريس والمعلمون نظام التعلم القائم على النشاط .</w:t>
      </w:r>
    </w:p>
    <w:p w:rsidR="0055387D" w:rsidRPr="0055387D" w:rsidRDefault="0055387D" w:rsidP="0055387D">
      <w:pPr>
        <w:spacing w:line="276" w:lineRule="auto"/>
        <w:jc w:val="right"/>
        <w:rPr>
          <w:rFonts w:ascii="Simplified Arabic" w:hAnsi="Simplified Arabic" w:cs="Simplified Arabic"/>
          <w:b/>
          <w:bCs/>
          <w:color w:val="1F4E79" w:themeColor="accent1" w:themeShade="80"/>
          <w:sz w:val="24"/>
          <w:szCs w:val="24"/>
          <w:u w:val="single"/>
          <w:lang w:val="en-US"/>
        </w:rPr>
      </w:pPr>
      <w:r w:rsidRPr="0055387D">
        <w:rPr>
          <w:rFonts w:ascii="Simplified Arabic" w:hAnsi="Simplified Arabic" w:cs="Simplified Arabic"/>
          <w:b/>
          <w:bCs/>
          <w:color w:val="1F4E79" w:themeColor="accent1" w:themeShade="80"/>
          <w:sz w:val="24"/>
          <w:szCs w:val="24"/>
          <w:u w:val="single"/>
          <w:rtl/>
          <w:lang w:val="en-US"/>
        </w:rPr>
        <w:lastRenderedPageBreak/>
        <w:t>أنماط التحول والسلوك الثقافي في مدارس وزارة التربية والتعليم والتعليم الفني ووزارة وزارة التعليم العالي والبحث العلمي وبناءً على الأدوات المستخدمة التي تم التحقق منها هي:</w:t>
      </w:r>
    </w:p>
    <w:p w:rsidR="0055387D" w:rsidRPr="0055387D" w:rsidRDefault="0011005A"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Pr>
          <w:rFonts w:ascii="Simplified Arabic" w:hAnsi="Simplified Arabic" w:cs="Simplified Arabic"/>
          <w:b/>
          <w:bCs/>
          <w:color w:val="2E74B5" w:themeColor="accent1" w:themeShade="BF"/>
          <w:sz w:val="24"/>
          <w:szCs w:val="24"/>
          <w:rtl/>
          <w:lang w:val="en-US"/>
        </w:rPr>
        <w:t>ال</w:t>
      </w:r>
      <w:r>
        <w:rPr>
          <w:rFonts w:ascii="Simplified Arabic" w:hAnsi="Simplified Arabic" w:cs="Simplified Arabic" w:hint="cs"/>
          <w:b/>
          <w:bCs/>
          <w:color w:val="2E74B5" w:themeColor="accent1" w:themeShade="BF"/>
          <w:sz w:val="24"/>
          <w:szCs w:val="24"/>
          <w:rtl/>
          <w:lang w:val="en-US"/>
        </w:rPr>
        <w:t>تفكر والتأمل</w:t>
      </w:r>
      <w:r w:rsidR="0055387D" w:rsidRPr="0055387D">
        <w:rPr>
          <w:rFonts w:ascii="Simplified Arabic" w:hAnsi="Simplified Arabic" w:cs="Simplified Arabic"/>
          <w:b/>
          <w:bCs/>
          <w:color w:val="2E74B5" w:themeColor="accent1" w:themeShade="BF"/>
          <w:sz w:val="24"/>
          <w:szCs w:val="24"/>
          <w:rtl/>
          <w:lang w:val="en-US"/>
        </w:rPr>
        <w:t xml:space="preserve"> الآن كعادة للعقل</w:t>
      </w:r>
      <w:r>
        <w:rPr>
          <w:rFonts w:ascii="Simplified Arabic" w:hAnsi="Simplified Arabic" w:cs="Simplified Arabic" w:hint="cs"/>
          <w:b/>
          <w:bCs/>
          <w:color w:val="2E74B5" w:themeColor="accent1" w:themeShade="BF"/>
          <w:sz w:val="24"/>
          <w:szCs w:val="24"/>
          <w:rtl/>
          <w:lang w:val="en-US"/>
        </w:rPr>
        <w:t>.</w:t>
      </w:r>
    </w:p>
    <w:p w:rsidR="0055387D" w:rsidRPr="0055387D" w:rsidRDefault="0011005A"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Pr>
          <w:rFonts w:ascii="Simplified Arabic" w:hAnsi="Simplified Arabic" w:cs="Simplified Arabic" w:hint="cs"/>
          <w:b/>
          <w:bCs/>
          <w:color w:val="2E74B5" w:themeColor="accent1" w:themeShade="BF"/>
          <w:sz w:val="24"/>
          <w:szCs w:val="24"/>
          <w:rtl/>
          <w:lang w:val="en-US"/>
        </w:rPr>
        <w:t>ممارسة التعلم التعاوني.</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lang w:val="en-US"/>
        </w:rPr>
      </w:pPr>
      <w:r w:rsidRPr="0055387D">
        <w:rPr>
          <w:rFonts w:ascii="Simplified Arabic" w:hAnsi="Simplified Arabic" w:cs="Simplified Arabic"/>
          <w:b/>
          <w:bCs/>
          <w:color w:val="2E74B5" w:themeColor="accent1" w:themeShade="BF"/>
          <w:sz w:val="24"/>
          <w:szCs w:val="24"/>
          <w:rtl/>
          <w:lang w:val="en-US"/>
        </w:rPr>
        <w:t>نشأة التدريس التعاوني</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الت</w:t>
      </w:r>
      <w:r w:rsidR="0011005A">
        <w:rPr>
          <w:rFonts w:ascii="Simplified Arabic" w:hAnsi="Simplified Arabic" w:cs="Simplified Arabic"/>
          <w:b/>
          <w:bCs/>
          <w:color w:val="2E74B5" w:themeColor="accent1" w:themeShade="BF"/>
          <w:sz w:val="24"/>
          <w:szCs w:val="24"/>
          <w:rtl/>
          <w:lang w:val="en-US"/>
        </w:rPr>
        <w:t>علم القائم على النشاط أصبح و</w:t>
      </w:r>
      <w:r w:rsidR="0011005A">
        <w:rPr>
          <w:rFonts w:ascii="Simplified Arabic" w:hAnsi="Simplified Arabic" w:cs="Simplified Arabic" w:hint="cs"/>
          <w:b/>
          <w:bCs/>
          <w:color w:val="2E74B5" w:themeColor="accent1" w:themeShade="BF"/>
          <w:sz w:val="24"/>
          <w:szCs w:val="24"/>
          <w:rtl/>
          <w:lang w:val="en-US"/>
        </w:rPr>
        <w:t>اضحاً</w:t>
      </w:r>
      <w:r w:rsidRPr="0055387D">
        <w:rPr>
          <w:rFonts w:ascii="Simplified Arabic" w:hAnsi="Simplified Arabic" w:cs="Simplified Arabic"/>
          <w:b/>
          <w:bCs/>
          <w:color w:val="2E74B5" w:themeColor="accent1" w:themeShade="BF"/>
          <w:sz w:val="24"/>
          <w:szCs w:val="24"/>
          <w:rtl/>
          <w:lang w:val="en-US"/>
        </w:rPr>
        <w:t xml:space="preserve"> الآن</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نشأة الطلاب المعلمون على مستوى المدرسة</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 xml:space="preserve">الابتكارات التي </w:t>
      </w:r>
      <w:r w:rsidR="0011005A">
        <w:rPr>
          <w:rFonts w:ascii="Simplified Arabic" w:hAnsi="Simplified Arabic" w:cs="Simplified Arabic"/>
          <w:b/>
          <w:bCs/>
          <w:color w:val="2E74B5" w:themeColor="accent1" w:themeShade="BF"/>
          <w:sz w:val="24"/>
          <w:szCs w:val="24"/>
          <w:rtl/>
          <w:lang w:val="en-US"/>
        </w:rPr>
        <w:t xml:space="preserve">يتم الترويج لها في </w:t>
      </w:r>
      <w:r w:rsidR="0011005A">
        <w:rPr>
          <w:rFonts w:ascii="Simplified Arabic" w:hAnsi="Simplified Arabic" w:cs="Simplified Arabic" w:hint="cs"/>
          <w:b/>
          <w:bCs/>
          <w:color w:val="2E74B5" w:themeColor="accent1" w:themeShade="BF"/>
          <w:sz w:val="24"/>
          <w:szCs w:val="24"/>
          <w:rtl/>
          <w:lang w:val="en-US"/>
        </w:rPr>
        <w:t>ال</w:t>
      </w:r>
      <w:r w:rsidR="0011005A">
        <w:rPr>
          <w:rFonts w:ascii="Simplified Arabic" w:hAnsi="Simplified Arabic" w:cs="Simplified Arabic"/>
          <w:b/>
          <w:bCs/>
          <w:color w:val="2E74B5" w:themeColor="accent1" w:themeShade="BF"/>
          <w:sz w:val="24"/>
          <w:szCs w:val="24"/>
          <w:rtl/>
          <w:lang w:val="en-US"/>
        </w:rPr>
        <w:t>تدريس</w:t>
      </w:r>
      <w:r w:rsidR="0011005A">
        <w:rPr>
          <w:rFonts w:ascii="Simplified Arabic" w:hAnsi="Simplified Arabic" w:cs="Simplified Arabic" w:hint="cs"/>
          <w:b/>
          <w:bCs/>
          <w:color w:val="2E74B5" w:themeColor="accent1" w:themeShade="BF"/>
          <w:sz w:val="24"/>
          <w:szCs w:val="24"/>
          <w:rtl/>
          <w:lang w:val="en-US"/>
        </w:rPr>
        <w:t>.</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تمكين المعلمين وأعضاء هيئة التدريس الشباب</w:t>
      </w:r>
      <w:r w:rsidRPr="0055387D">
        <w:rPr>
          <w:rFonts w:ascii="Simplified Arabic" w:hAnsi="Simplified Arabic" w:cs="Simplified Arabic"/>
          <w:b/>
          <w:bCs/>
          <w:color w:val="2E74B5" w:themeColor="accent1" w:themeShade="BF"/>
          <w:sz w:val="24"/>
          <w:szCs w:val="24"/>
          <w:lang w:val="en-US"/>
        </w:rPr>
        <w:t>.</w:t>
      </w:r>
    </w:p>
    <w:p w:rsidR="0055387D" w:rsidRPr="0055387D" w:rsidRDefault="0011005A" w:rsidP="0011005A">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Pr>
          <w:rFonts w:ascii="Simplified Arabic" w:hAnsi="Simplified Arabic" w:cs="Simplified Arabic"/>
          <w:b/>
          <w:bCs/>
          <w:color w:val="2E74B5" w:themeColor="accent1" w:themeShade="BF"/>
          <w:sz w:val="24"/>
          <w:szCs w:val="24"/>
          <w:rtl/>
          <w:lang w:val="en-US"/>
        </w:rPr>
        <w:t xml:space="preserve"> تقييم المعلمي</w:t>
      </w:r>
      <w:r>
        <w:rPr>
          <w:rFonts w:ascii="Simplified Arabic" w:hAnsi="Simplified Arabic" w:cs="Simplified Arabic" w:hint="cs"/>
          <w:b/>
          <w:bCs/>
          <w:color w:val="2E74B5" w:themeColor="accent1" w:themeShade="BF"/>
          <w:sz w:val="24"/>
          <w:szCs w:val="24"/>
          <w:rtl/>
          <w:lang w:val="en-US"/>
        </w:rPr>
        <w:t>ن من قبل الطلاب.</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تقدير التبادلات الثقافية بين شركاء الاتحاد الأوروبي و</w:t>
      </w:r>
      <w:r w:rsidRPr="0055387D">
        <w:rPr>
          <w:rFonts w:ascii="Simplified Arabic" w:hAnsi="Simplified Arabic" w:cs="Simplified Arabic"/>
          <w:b/>
          <w:bCs/>
          <w:color w:val="2E74B5" w:themeColor="accent1" w:themeShade="BF"/>
          <w:sz w:val="24"/>
          <w:szCs w:val="24"/>
          <w:lang w:val="en-US"/>
        </w:rPr>
        <w:t xml:space="preserve"> </w:t>
      </w:r>
      <w:r w:rsidRPr="0055387D">
        <w:rPr>
          <w:rFonts w:ascii="Simplified Arabic" w:hAnsi="Simplified Arabic" w:cs="Simplified Arabic"/>
          <w:b/>
          <w:bCs/>
          <w:color w:val="2E74B5" w:themeColor="accent1" w:themeShade="BF"/>
          <w:sz w:val="24"/>
          <w:szCs w:val="24"/>
          <w:rtl/>
          <w:lang w:val="en-US"/>
        </w:rPr>
        <w:t>كليات التربية</w:t>
      </w:r>
      <w:r w:rsidRPr="0055387D">
        <w:rPr>
          <w:rFonts w:ascii="Simplified Arabic" w:hAnsi="Simplified Arabic" w:cs="Simplified Arabic"/>
          <w:b/>
          <w:bCs/>
          <w:color w:val="2E74B5" w:themeColor="accent1" w:themeShade="BF"/>
          <w:sz w:val="24"/>
          <w:szCs w:val="24"/>
          <w:lang w:val="en-US"/>
        </w:rPr>
        <w:t xml:space="preserve"> </w:t>
      </w:r>
      <w:r w:rsidRPr="0055387D">
        <w:rPr>
          <w:rFonts w:ascii="Simplified Arabic" w:hAnsi="Simplified Arabic" w:cs="Simplified Arabic"/>
          <w:b/>
          <w:bCs/>
          <w:color w:val="2E74B5" w:themeColor="accent1" w:themeShade="BF"/>
          <w:sz w:val="24"/>
          <w:szCs w:val="24"/>
          <w:rtl/>
          <w:lang w:val="en-US"/>
        </w:rPr>
        <w:t>المصرية والمدارس</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jc w:val="both"/>
        <w:rPr>
          <w:rFonts w:ascii="Simplified Arabic" w:hAnsi="Simplified Arabic" w:cs="Simplified Arabic"/>
          <w:b/>
          <w:bCs/>
          <w:color w:val="2E74B5" w:themeColor="accent1" w:themeShade="BF"/>
          <w:sz w:val="24"/>
          <w:szCs w:val="24"/>
          <w:lang w:val="en-US"/>
        </w:rPr>
      </w:pPr>
      <w:r w:rsidRPr="0055387D">
        <w:rPr>
          <w:rFonts w:ascii="Simplified Arabic" w:hAnsi="Simplified Arabic" w:cs="Simplified Arabic"/>
          <w:b/>
          <w:bCs/>
          <w:color w:val="2E74B5" w:themeColor="accent1" w:themeShade="BF"/>
          <w:sz w:val="24"/>
          <w:szCs w:val="24"/>
          <w:rtl/>
          <w:lang w:val="en-US"/>
        </w:rPr>
        <w:t>التحول الثقافي من الفردية إلى التعاون والشعور بالمجتمع.</w:t>
      </w:r>
    </w:p>
    <w:p w:rsidR="0055387D" w:rsidRPr="0055387D" w:rsidRDefault="0055387D" w:rsidP="0055387D">
      <w:pPr>
        <w:bidi/>
        <w:spacing w:line="276" w:lineRule="auto"/>
        <w:rPr>
          <w:rFonts w:ascii="Simplified Arabic" w:hAnsi="Simplified Arabic" w:cs="Simplified Arabic"/>
          <w:b/>
          <w:bCs/>
          <w:color w:val="1F4E79" w:themeColor="accent1" w:themeShade="80"/>
          <w:sz w:val="24"/>
          <w:szCs w:val="24"/>
          <w:u w:val="single"/>
          <w:lang w:val="en-US"/>
        </w:rPr>
      </w:pPr>
      <w:r w:rsidRPr="0055387D">
        <w:rPr>
          <w:rFonts w:ascii="Simplified Arabic" w:hAnsi="Simplified Arabic" w:cs="Simplified Arabic"/>
          <w:b/>
          <w:bCs/>
          <w:color w:val="1F4E79" w:themeColor="accent1" w:themeShade="80"/>
          <w:sz w:val="24"/>
          <w:szCs w:val="24"/>
          <w:u w:val="single"/>
          <w:rtl/>
          <w:lang w:val="en-US"/>
        </w:rPr>
        <w:t>المهارات المكتسبة</w:t>
      </w:r>
      <w:r w:rsidRPr="0055387D">
        <w:rPr>
          <w:rFonts w:ascii="Simplified Arabic" w:hAnsi="Simplified Arabic" w:cs="Simplified Arabic"/>
          <w:b/>
          <w:bCs/>
          <w:color w:val="1F4E79" w:themeColor="accent1" w:themeShade="80"/>
          <w:sz w:val="24"/>
          <w:szCs w:val="24"/>
          <w:u w:val="single"/>
          <w:lang w:val="en-US"/>
        </w:rPr>
        <w:t>:</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الحواجز أمام استخدام التكنولوجيا تختفي تدريجيا</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تعزيز</w:t>
      </w:r>
      <w:r w:rsidRPr="0055387D">
        <w:rPr>
          <w:rFonts w:ascii="Simplified Arabic" w:hAnsi="Simplified Arabic" w:cs="Simplified Arabic"/>
          <w:b/>
          <w:bCs/>
          <w:color w:val="2E74B5" w:themeColor="accent1" w:themeShade="BF"/>
          <w:sz w:val="24"/>
          <w:szCs w:val="24"/>
          <w:lang w:val="en-US"/>
        </w:rPr>
        <w:t xml:space="preserve"> </w:t>
      </w:r>
      <w:r w:rsidRPr="0055387D">
        <w:rPr>
          <w:rFonts w:ascii="Simplified Arabic" w:hAnsi="Simplified Arabic" w:cs="Simplified Arabic"/>
          <w:b/>
          <w:bCs/>
          <w:color w:val="2E74B5" w:themeColor="accent1" w:themeShade="BF"/>
          <w:sz w:val="24"/>
          <w:szCs w:val="24"/>
          <w:rtl/>
          <w:lang w:val="en-US"/>
        </w:rPr>
        <w:t>استخدام اللغة الإنجليزية (الشفوية والمكتوبة)</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3"/>
        </w:numPr>
        <w:bidi/>
        <w:spacing w:line="276" w:lineRule="auto"/>
        <w:rPr>
          <w:rFonts w:ascii="Simplified Arabic" w:hAnsi="Simplified Arabic" w:cs="Simplified Arabic"/>
          <w:b/>
          <w:bCs/>
          <w:color w:val="2E74B5" w:themeColor="accent1" w:themeShade="BF"/>
          <w:sz w:val="24"/>
          <w:szCs w:val="24"/>
          <w:lang w:val="en-US"/>
        </w:rPr>
      </w:pPr>
      <w:r w:rsidRPr="0055387D">
        <w:rPr>
          <w:rFonts w:ascii="Simplified Arabic" w:hAnsi="Simplified Arabic" w:cs="Simplified Arabic"/>
          <w:b/>
          <w:bCs/>
          <w:color w:val="2E74B5" w:themeColor="accent1" w:themeShade="BF"/>
          <w:sz w:val="24"/>
          <w:szCs w:val="24"/>
          <w:rtl/>
          <w:lang w:val="en-US"/>
        </w:rPr>
        <w:t>المهارات البحثية لأعضاء هيئة التدريس والمعلمين والطلاب تطورت بشكل كبير ، مما أدى إلى دورات بحثية مبتكرة جديدة في الجامعات</w:t>
      </w:r>
      <w:r w:rsidR="00ED45C3">
        <w:rPr>
          <w:rFonts w:ascii="Simplified Arabic" w:hAnsi="Simplified Arabic" w:cs="Simplified Arabic" w:hint="cs"/>
          <w:b/>
          <w:bCs/>
          <w:color w:val="2E74B5" w:themeColor="accent1" w:themeShade="BF"/>
          <w:sz w:val="24"/>
          <w:szCs w:val="24"/>
          <w:rtl/>
          <w:lang w:val="en-US"/>
        </w:rPr>
        <w:t>.</w:t>
      </w:r>
    </w:p>
    <w:p w:rsidR="0055387D" w:rsidRPr="0055387D" w:rsidRDefault="0055387D" w:rsidP="0055387D">
      <w:pPr>
        <w:bidi/>
        <w:spacing w:line="276" w:lineRule="auto"/>
        <w:rPr>
          <w:rFonts w:ascii="Simplified Arabic" w:hAnsi="Simplified Arabic" w:cs="Simplified Arabic"/>
          <w:b/>
          <w:bCs/>
          <w:color w:val="1F4E79" w:themeColor="accent1" w:themeShade="80"/>
          <w:sz w:val="24"/>
          <w:szCs w:val="24"/>
          <w:u w:val="single"/>
          <w:rtl/>
          <w:lang w:val="en-US"/>
        </w:rPr>
      </w:pPr>
      <w:r w:rsidRPr="0055387D">
        <w:rPr>
          <w:rFonts w:ascii="Simplified Arabic" w:hAnsi="Simplified Arabic" w:cs="Simplified Arabic"/>
          <w:b/>
          <w:bCs/>
          <w:color w:val="1F4E79" w:themeColor="accent1" w:themeShade="80"/>
          <w:sz w:val="24"/>
          <w:szCs w:val="24"/>
          <w:u w:val="single"/>
          <w:rtl/>
          <w:lang w:val="en-US"/>
        </w:rPr>
        <w:t>نتائج التعلم والتبادل</w:t>
      </w:r>
      <w:r w:rsidRPr="0055387D">
        <w:rPr>
          <w:rFonts w:ascii="Simplified Arabic" w:hAnsi="Simplified Arabic" w:cs="Simplified Arabic"/>
          <w:b/>
          <w:bCs/>
          <w:color w:val="1F4E79" w:themeColor="accent1" w:themeShade="80"/>
          <w:sz w:val="24"/>
          <w:szCs w:val="24"/>
          <w:u w:val="single"/>
          <w:lang w:val="en-US"/>
        </w:rPr>
        <w:t>:</w:t>
      </w:r>
    </w:p>
    <w:p w:rsidR="0055387D" w:rsidRPr="0055387D" w:rsidRDefault="0055387D" w:rsidP="004A00FF">
      <w:pPr>
        <w:pStyle w:val="ListParagraph"/>
        <w:numPr>
          <w:ilvl w:val="0"/>
          <w:numId w:val="5"/>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تحسن تحصيل الطلاب في بعض المدارس نتيجة للمشروع</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5"/>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تحسن الحضور المدرسي بشكل ملحوظ نتيجة للمشروع</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5"/>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آراء أعضاء هيئة التدريس والأسر والطلاب أكثر تقديرا لمهنة التدريس</w:t>
      </w:r>
      <w:r w:rsidRPr="0055387D">
        <w:rPr>
          <w:rFonts w:ascii="Simplified Arabic" w:hAnsi="Simplified Arabic" w:cs="Simplified Arabic"/>
          <w:b/>
          <w:bCs/>
          <w:color w:val="2E74B5" w:themeColor="accent1" w:themeShade="BF"/>
          <w:sz w:val="24"/>
          <w:szCs w:val="24"/>
          <w:lang w:val="en-US"/>
        </w:rPr>
        <w:t>.</w:t>
      </w:r>
    </w:p>
    <w:p w:rsidR="0055387D" w:rsidRPr="0055387D" w:rsidRDefault="0055387D" w:rsidP="0055387D">
      <w:pPr>
        <w:pStyle w:val="ListParagraph"/>
        <w:numPr>
          <w:ilvl w:val="0"/>
          <w:numId w:val="5"/>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المعلمون يبحثون الآن عن التنمية المهنية المستدامة من خلال الجامعة (ماجستير ودبلومات).</w:t>
      </w:r>
    </w:p>
    <w:p w:rsidR="0055387D" w:rsidRPr="0055387D" w:rsidRDefault="0055387D" w:rsidP="0055387D">
      <w:pPr>
        <w:pStyle w:val="ListParagraph"/>
        <w:numPr>
          <w:ilvl w:val="0"/>
          <w:numId w:val="5"/>
        </w:numPr>
        <w:bidi/>
        <w:spacing w:line="276" w:lineRule="auto"/>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المشاركة المدنية للطلاب تحسنت كثيرا في بعض المدارس (الاحتياجات الخاصة والأقليات).</w:t>
      </w:r>
    </w:p>
    <w:p w:rsidR="0055387D" w:rsidRPr="0055387D" w:rsidRDefault="0055387D" w:rsidP="0055387D">
      <w:pPr>
        <w:pStyle w:val="ListParagraph"/>
        <w:numPr>
          <w:ilvl w:val="0"/>
          <w:numId w:val="5"/>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تم توقيع أربع مذكرات تفاهم بين الجامعات الأوروبية والمصرية الشريكة مما أدى إلى إشراف مشترك على الدراسات العليا وبرامج التبادل.</w:t>
      </w:r>
    </w:p>
    <w:p w:rsidR="0055387D" w:rsidRPr="0055387D" w:rsidRDefault="0055387D" w:rsidP="0055387D">
      <w:pPr>
        <w:pStyle w:val="ListParagraph"/>
        <w:numPr>
          <w:ilvl w:val="0"/>
          <w:numId w:val="5"/>
        </w:numPr>
        <w:bidi/>
        <w:spacing w:line="276" w:lineRule="auto"/>
        <w:jc w:val="both"/>
        <w:rPr>
          <w:rFonts w:ascii="Simplified Arabic" w:hAnsi="Simplified Arabic" w:cs="Simplified Arabic"/>
          <w:b/>
          <w:bCs/>
          <w:color w:val="2E74B5" w:themeColor="accent1" w:themeShade="BF"/>
          <w:sz w:val="24"/>
          <w:szCs w:val="24"/>
          <w:rtl/>
          <w:lang w:val="en-US"/>
        </w:rPr>
      </w:pPr>
      <w:r w:rsidRPr="0055387D">
        <w:rPr>
          <w:rFonts w:ascii="Simplified Arabic" w:hAnsi="Simplified Arabic" w:cs="Simplified Arabic"/>
          <w:b/>
          <w:bCs/>
          <w:color w:val="2E74B5" w:themeColor="accent1" w:themeShade="BF"/>
          <w:sz w:val="24"/>
          <w:szCs w:val="24"/>
          <w:rtl/>
          <w:lang w:val="en-US"/>
        </w:rPr>
        <w:t>تم إنشاء ثلاثة مختبرات تكنولوجية ل</w:t>
      </w:r>
      <w:r w:rsidRPr="0055387D">
        <w:rPr>
          <w:rFonts w:ascii="Simplified Arabic" w:hAnsi="Simplified Arabic" w:cs="Simplified Arabic"/>
          <w:b/>
          <w:bCs/>
          <w:color w:val="2E74B5" w:themeColor="accent1" w:themeShade="BF"/>
          <w:sz w:val="24"/>
          <w:szCs w:val="24"/>
          <w:lang w:val="en-US"/>
        </w:rPr>
        <w:t xml:space="preserve"> PCLs </w:t>
      </w:r>
      <w:r w:rsidRPr="0055387D">
        <w:rPr>
          <w:rFonts w:ascii="Simplified Arabic" w:hAnsi="Simplified Arabic" w:cs="Simplified Arabic"/>
          <w:b/>
          <w:bCs/>
          <w:color w:val="2E74B5" w:themeColor="accent1" w:themeShade="BF"/>
          <w:sz w:val="24"/>
          <w:szCs w:val="24"/>
          <w:rtl/>
          <w:lang w:val="en-US"/>
        </w:rPr>
        <w:t>مع المدارس في كل جامعة من الجامعات المصرية.</w:t>
      </w:r>
    </w:p>
    <w:p w:rsidR="0055387D" w:rsidRPr="0055387D" w:rsidRDefault="0055387D" w:rsidP="0055387D">
      <w:pPr>
        <w:bidi/>
        <w:spacing w:line="276" w:lineRule="auto"/>
        <w:jc w:val="both"/>
        <w:rPr>
          <w:rFonts w:ascii="Simplified Arabic" w:hAnsi="Simplified Arabic" w:cs="Simplified Arabic"/>
          <w:b/>
          <w:bCs/>
          <w:color w:val="2E74B5" w:themeColor="accent1" w:themeShade="BF"/>
          <w:sz w:val="24"/>
          <w:szCs w:val="24"/>
          <w:rtl/>
          <w:lang w:val="en-US"/>
        </w:rPr>
      </w:pPr>
    </w:p>
    <w:p w:rsidR="0055387D" w:rsidRPr="0055387D" w:rsidRDefault="0055387D" w:rsidP="0055387D">
      <w:pPr>
        <w:pStyle w:val="ListParagraph"/>
        <w:bidi/>
        <w:spacing w:line="276" w:lineRule="auto"/>
        <w:rPr>
          <w:rFonts w:ascii="Simplified Arabic" w:hAnsi="Simplified Arabic" w:cs="Simplified Arabic"/>
          <w:b/>
          <w:bCs/>
          <w:color w:val="2E74B5" w:themeColor="accent1" w:themeShade="BF"/>
          <w:sz w:val="24"/>
          <w:szCs w:val="24"/>
          <w:rtl/>
          <w:lang w:val="en-US"/>
        </w:rPr>
      </w:pPr>
    </w:p>
    <w:p w:rsidR="00B53262" w:rsidRPr="0055387D" w:rsidRDefault="00B53262" w:rsidP="0055387D">
      <w:pPr>
        <w:spacing w:line="276" w:lineRule="auto"/>
        <w:rPr>
          <w:rFonts w:ascii="Simplified Arabic" w:hAnsi="Simplified Arabic" w:cs="Simplified Arabic"/>
          <w:b/>
          <w:bCs/>
          <w:color w:val="2E74B5" w:themeColor="accent1" w:themeShade="BF"/>
          <w:sz w:val="24"/>
          <w:szCs w:val="24"/>
          <w:lang w:val="en-US"/>
        </w:rPr>
      </w:pPr>
    </w:p>
    <w:sectPr w:rsidR="00B53262" w:rsidRPr="00553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pt;visibility:visible;mso-wrap-style:square" o:bullet="t">
        <v:imagedata r:id="rId1" o:title="SUP4PCL V3 Blue"/>
      </v:shape>
    </w:pict>
  </w:numPicBullet>
  <w:abstractNum w:abstractNumId="0" w15:restartNumberingAfterBreak="0">
    <w:nsid w:val="20B02940"/>
    <w:multiLevelType w:val="hybridMultilevel"/>
    <w:tmpl w:val="4D3ED004"/>
    <w:lvl w:ilvl="0" w:tplc="D3B6AEB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05515"/>
    <w:multiLevelType w:val="hybridMultilevel"/>
    <w:tmpl w:val="34BEC354"/>
    <w:lvl w:ilvl="0" w:tplc="2112044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B0054"/>
    <w:multiLevelType w:val="hybridMultilevel"/>
    <w:tmpl w:val="A81A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05636"/>
    <w:multiLevelType w:val="hybridMultilevel"/>
    <w:tmpl w:val="498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220DD"/>
    <w:multiLevelType w:val="hybridMultilevel"/>
    <w:tmpl w:val="3C666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6C48D94">
      <w:numFmt w:val="bullet"/>
      <w:lvlText w:val="•"/>
      <w:lvlJc w:val="left"/>
      <w:pPr>
        <w:ind w:left="7080" w:hanging="528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7D"/>
    <w:rsid w:val="0011005A"/>
    <w:rsid w:val="00245BCC"/>
    <w:rsid w:val="004A00FF"/>
    <w:rsid w:val="0055387D"/>
    <w:rsid w:val="00B47A6A"/>
    <w:rsid w:val="00B53262"/>
    <w:rsid w:val="00BB75ED"/>
    <w:rsid w:val="00CE4A9F"/>
    <w:rsid w:val="00D35F0C"/>
    <w:rsid w:val="00ED45C3"/>
    <w:rsid w:val="00F5768E"/>
    <w:rsid w:val="00F85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F8033-8CD1-4684-B793-74D9EB8C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87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7D"/>
    <w:pPr>
      <w:ind w:left="720"/>
      <w:contextualSpacing/>
    </w:pPr>
  </w:style>
  <w:style w:type="paragraph" w:styleId="BalloonText">
    <w:name w:val="Balloon Text"/>
    <w:basedOn w:val="Normal"/>
    <w:link w:val="BalloonTextChar"/>
    <w:uiPriority w:val="99"/>
    <w:semiHidden/>
    <w:unhideWhenUsed/>
    <w:rsid w:val="004A0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0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MEIHE</dc:creator>
  <cp:keywords/>
  <dc:description/>
  <cp:lastModifiedBy>HP</cp:lastModifiedBy>
  <cp:revision>4</cp:revision>
  <cp:lastPrinted>2019-12-23T07:27:00Z</cp:lastPrinted>
  <dcterms:created xsi:type="dcterms:W3CDTF">2019-12-23T07:05:00Z</dcterms:created>
  <dcterms:modified xsi:type="dcterms:W3CDTF">2020-10-17T10:41:00Z</dcterms:modified>
</cp:coreProperties>
</file>